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B4346" w14:textId="77777777" w:rsidR="004538D4" w:rsidRPr="00F86D91" w:rsidRDefault="004538D4" w:rsidP="00F86D91">
      <w:pPr>
        <w:spacing w:line="360" w:lineRule="auto"/>
        <w:ind w:firstLineChars="300" w:firstLine="889"/>
        <w:rPr>
          <w:rFonts w:asciiTheme="majorEastAsia" w:eastAsiaTheme="majorEastAsia" w:hAnsiTheme="majorEastAsia"/>
          <w:b/>
          <w:w w:val="98"/>
          <w:kern w:val="0"/>
          <w:sz w:val="30"/>
          <w:szCs w:val="30"/>
        </w:rPr>
      </w:pPr>
      <w:r w:rsidRPr="00F86D91">
        <w:rPr>
          <w:rFonts w:asciiTheme="majorEastAsia" w:eastAsiaTheme="majorEastAsia" w:hAnsiTheme="majorEastAsia" w:hint="eastAsia"/>
          <w:b/>
          <w:w w:val="98"/>
          <w:kern w:val="0"/>
          <w:sz w:val="30"/>
          <w:szCs w:val="30"/>
        </w:rPr>
        <w:t>高一年级 《音乐鉴赏》 第16课时 音乐与戏剧《斗牛士之歌》</w:t>
      </w:r>
    </w:p>
    <w:p w14:paraId="6270CB44" w14:textId="77777777" w:rsidR="004538D4" w:rsidRPr="00F86D91" w:rsidRDefault="004538D4" w:rsidP="00F86D91">
      <w:pPr>
        <w:spacing w:line="360" w:lineRule="auto"/>
        <w:jc w:val="center"/>
        <w:rPr>
          <w:rFonts w:asciiTheme="majorEastAsia" w:eastAsiaTheme="majorEastAsia" w:hAnsiTheme="majorEastAsia"/>
          <w:b/>
          <w:w w:val="98"/>
          <w:kern w:val="0"/>
          <w:sz w:val="30"/>
          <w:szCs w:val="30"/>
        </w:rPr>
      </w:pPr>
      <w:r w:rsidRPr="00F86D91">
        <w:rPr>
          <w:rFonts w:asciiTheme="majorEastAsia" w:eastAsiaTheme="majorEastAsia" w:hAnsiTheme="majorEastAsia" w:hint="eastAsia"/>
          <w:b/>
          <w:w w:val="98"/>
          <w:kern w:val="0"/>
          <w:sz w:val="30"/>
          <w:szCs w:val="30"/>
        </w:rPr>
        <w:t>拓展资源</w:t>
      </w:r>
    </w:p>
    <w:p w14:paraId="63E365BC" w14:textId="77777777" w:rsidR="004538D4" w:rsidRPr="00F86D91" w:rsidRDefault="004538D4" w:rsidP="004538D4">
      <w:pPr>
        <w:spacing w:line="360" w:lineRule="auto"/>
        <w:rPr>
          <w:rFonts w:asciiTheme="minorEastAsia" w:hAnsiTheme="minorEastAsia"/>
          <w:b/>
          <w:w w:val="98"/>
          <w:kern w:val="0"/>
          <w:sz w:val="24"/>
        </w:rPr>
      </w:pPr>
      <w:r w:rsidRPr="00F86D91">
        <w:rPr>
          <w:rFonts w:asciiTheme="minorEastAsia" w:hAnsiTheme="minorEastAsia" w:hint="eastAsia"/>
          <w:b/>
          <w:w w:val="98"/>
          <w:kern w:val="0"/>
          <w:sz w:val="24"/>
        </w:rPr>
        <w:t>一、文字资源</w:t>
      </w:r>
    </w:p>
    <w:p w14:paraId="25C2C96C" w14:textId="77777777" w:rsidR="004538D4" w:rsidRPr="00F86D91" w:rsidRDefault="004538D4" w:rsidP="004538D4">
      <w:pPr>
        <w:spacing w:line="360" w:lineRule="auto"/>
        <w:rPr>
          <w:rFonts w:asciiTheme="minorEastAsia" w:hAnsiTheme="minorEastAsia"/>
          <w:w w:val="98"/>
          <w:kern w:val="0"/>
          <w:sz w:val="24"/>
        </w:rPr>
      </w:pPr>
      <w:r w:rsidRPr="00F86D91">
        <w:rPr>
          <w:rFonts w:asciiTheme="minorEastAsia" w:hAnsiTheme="minorEastAsia" w:hint="eastAsia"/>
          <w:w w:val="98"/>
          <w:kern w:val="0"/>
          <w:sz w:val="24"/>
        </w:rPr>
        <w:t>１．比才－《卡门》</w:t>
      </w:r>
    </w:p>
    <w:p w14:paraId="3CB5EBD5" w14:textId="77777777" w:rsidR="004538D4" w:rsidRPr="00F86D91" w:rsidRDefault="004538D4" w:rsidP="00F86D91">
      <w:pPr>
        <w:spacing w:line="360" w:lineRule="auto"/>
        <w:ind w:firstLineChars="200" w:firstLine="469"/>
        <w:rPr>
          <w:rFonts w:asciiTheme="minorEastAsia" w:hAnsiTheme="minorEastAsia"/>
          <w:w w:val="98"/>
          <w:kern w:val="0"/>
          <w:sz w:val="24"/>
        </w:rPr>
      </w:pPr>
      <w:r w:rsidRPr="00F86D91">
        <w:rPr>
          <w:rFonts w:asciiTheme="minorEastAsia" w:hAnsiTheme="minorEastAsia" w:hint="eastAsia"/>
          <w:w w:val="98"/>
          <w:kern w:val="0"/>
          <w:sz w:val="24"/>
        </w:rPr>
        <w:t>乔治·比才（Georges Bizet,1838-1875），法国作曲家，生于巴黎。九岁起即入巴黎音乐学院学习作曲。后到罗马进修三年。1863年写成第一部歌剧《采珍珠者》。1870年新婚不久参加国民自卫军，后终生在塞纳河畔的布基伐尔从事写作。在音乐中他把鲜明的民族色彩，富有表现力地描绘生活冲突的交响发展，以及法国的喜歌剧传统的表现手法熔于一炉，创造了十九世纪法国歌剧的最高成就。</w:t>
      </w:r>
    </w:p>
    <w:p w14:paraId="2A251BAE" w14:textId="77777777" w:rsidR="004538D4" w:rsidRPr="00F86D91" w:rsidRDefault="004538D4" w:rsidP="00F86D91">
      <w:pPr>
        <w:spacing w:line="360" w:lineRule="auto"/>
        <w:ind w:firstLineChars="200" w:firstLine="469"/>
        <w:rPr>
          <w:rFonts w:asciiTheme="minorEastAsia" w:hAnsiTheme="minorEastAsia"/>
          <w:w w:val="98"/>
          <w:kern w:val="0"/>
          <w:sz w:val="24"/>
        </w:rPr>
      </w:pPr>
      <w:r w:rsidRPr="00F86D91">
        <w:rPr>
          <w:rFonts w:asciiTheme="minorEastAsia" w:hAnsiTheme="minorEastAsia" w:hint="eastAsia"/>
          <w:w w:val="98"/>
          <w:kern w:val="0"/>
          <w:sz w:val="24"/>
        </w:rPr>
        <w:t>《卡门》是比才创作的顶峰，剧情取材于梅里美的同名小说，是比才的最后一部歌剧，也是当今世界上上演率最高的一部歌剧。四幕歌剧《卡门》主要塑造了一个相貌美丽而性格倔强的吉卜赛姑娘——烟厂女工卡门。卡门使军人班长唐·豪塞堕入情网，并舍弃了他在农村时的情人——温柔而善良的米卡爱拉。后来唐·豪塞因为放走了与女工们打架的卡门而被捕入狱，出狱后他又加入了卡门所在的走私贩的行列。卡门后来又爱上了斗牛士埃斯卡米里奥，在卡门为埃斯卡米里奥斗牛胜利而欢呼时，她却死在了唐·豪塞的剑下。</w:t>
      </w:r>
    </w:p>
    <w:p w14:paraId="6CA398C2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【资料来源】</w:t>
      </w:r>
    </w:p>
    <w:p w14:paraId="5B282D4E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书名：《西方音乐通史》</w:t>
      </w:r>
    </w:p>
    <w:p w14:paraId="3E8666EF" w14:textId="4527C314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作者：于润洋</w:t>
      </w:r>
    </w:p>
    <w:p w14:paraId="699C6038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出版社：上海音乐出版社</w:t>
      </w:r>
    </w:p>
    <w:p w14:paraId="2F243B68" w14:textId="77777777" w:rsidR="004538D4" w:rsidRPr="00F86D91" w:rsidRDefault="004538D4" w:rsidP="004538D4">
      <w:pPr>
        <w:spacing w:line="360" w:lineRule="auto"/>
        <w:rPr>
          <w:rFonts w:asciiTheme="minorEastAsia" w:hAnsiTheme="minorEastAsia"/>
          <w:w w:val="98"/>
          <w:kern w:val="0"/>
          <w:sz w:val="24"/>
        </w:rPr>
      </w:pPr>
      <w:r w:rsidRPr="00F86D91">
        <w:rPr>
          <w:rFonts w:asciiTheme="minorEastAsia" w:hAnsiTheme="minorEastAsia" w:hint="eastAsia"/>
          <w:w w:val="98"/>
          <w:kern w:val="0"/>
          <w:sz w:val="24"/>
        </w:rPr>
        <w:t>２．咏叹调</w:t>
      </w:r>
    </w:p>
    <w:p w14:paraId="1C07D050" w14:textId="77777777" w:rsidR="004538D4" w:rsidRPr="00F86D91" w:rsidRDefault="004538D4" w:rsidP="00F86D91">
      <w:pPr>
        <w:spacing w:line="360" w:lineRule="auto"/>
        <w:ind w:firstLineChars="200" w:firstLine="469"/>
        <w:rPr>
          <w:rFonts w:asciiTheme="minorEastAsia" w:hAnsiTheme="minorEastAsia"/>
          <w:w w:val="98"/>
          <w:kern w:val="0"/>
          <w:sz w:val="24"/>
        </w:rPr>
      </w:pPr>
      <w:r w:rsidRPr="00F86D91">
        <w:rPr>
          <w:rFonts w:asciiTheme="minorEastAsia" w:hAnsiTheme="minorEastAsia" w:hint="eastAsia"/>
          <w:w w:val="98"/>
          <w:kern w:val="0"/>
          <w:sz w:val="24"/>
        </w:rPr>
        <w:t>咏叹调即抒情调，是一种配有伴奏的独唱曲，可以是歌剧、轻歌剧、神剧、受难曲或清唱剧的一部分，也可以是独立的音乐会咏叹调。是为发挥歌唱者的演唱才能而设计的。</w:t>
      </w:r>
    </w:p>
    <w:p w14:paraId="72CF4422" w14:textId="77777777" w:rsidR="004538D4" w:rsidRPr="00F86D91" w:rsidRDefault="004538D4" w:rsidP="004538D4">
      <w:pPr>
        <w:spacing w:line="360" w:lineRule="auto"/>
        <w:rPr>
          <w:rFonts w:asciiTheme="minorEastAsia" w:hAnsiTheme="minorEastAsia"/>
          <w:w w:val="98"/>
          <w:kern w:val="0"/>
          <w:sz w:val="24"/>
        </w:rPr>
      </w:pPr>
      <w:r w:rsidRPr="00F86D91">
        <w:rPr>
          <w:rFonts w:asciiTheme="minorEastAsia" w:hAnsiTheme="minorEastAsia" w:hint="eastAsia"/>
          <w:w w:val="98"/>
          <w:kern w:val="0"/>
          <w:sz w:val="24"/>
        </w:rPr>
        <w:t>其特征是富于歌唱性、长于抒发感情、有讲究的伴奏形式和特定的曲式结构，几乎所有著名的歌剧作品，主角的咏叹调都会是脍炙人口的佳作。</w:t>
      </w:r>
    </w:p>
    <w:p w14:paraId="1475B99A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【资料来源】</w:t>
      </w:r>
    </w:p>
    <w:p w14:paraId="035DF622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书名：《西方音乐通史》</w:t>
      </w:r>
    </w:p>
    <w:p w14:paraId="46B817C5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作者：于润洋</w:t>
      </w:r>
    </w:p>
    <w:p w14:paraId="1F74BADB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出版社：上海音乐出版社</w:t>
      </w:r>
    </w:p>
    <w:p w14:paraId="5C3138AD" w14:textId="77777777" w:rsidR="004538D4" w:rsidRPr="00F86D91" w:rsidRDefault="004538D4" w:rsidP="004538D4">
      <w:pPr>
        <w:spacing w:line="360" w:lineRule="auto"/>
        <w:rPr>
          <w:rFonts w:asciiTheme="minorEastAsia" w:hAnsiTheme="minorEastAsia"/>
          <w:w w:val="98"/>
          <w:kern w:val="0"/>
          <w:sz w:val="24"/>
        </w:rPr>
      </w:pPr>
      <w:r w:rsidRPr="00F86D91">
        <w:rPr>
          <w:rFonts w:asciiTheme="minorEastAsia" w:hAnsiTheme="minorEastAsia" w:hint="eastAsia"/>
          <w:w w:val="98"/>
          <w:kern w:val="0"/>
          <w:sz w:val="24"/>
        </w:rPr>
        <w:t>３．男中音的定义和分类</w:t>
      </w:r>
    </w:p>
    <w:p w14:paraId="67582BDF" w14:textId="77777777" w:rsidR="004538D4" w:rsidRPr="00F86D91" w:rsidRDefault="004538D4" w:rsidP="00F86D91">
      <w:pPr>
        <w:spacing w:line="360" w:lineRule="auto"/>
        <w:ind w:firstLineChars="200" w:firstLine="469"/>
        <w:rPr>
          <w:rFonts w:asciiTheme="minorEastAsia" w:hAnsiTheme="minorEastAsia"/>
          <w:w w:val="98"/>
          <w:kern w:val="0"/>
          <w:sz w:val="24"/>
        </w:rPr>
      </w:pPr>
      <w:r w:rsidRPr="00F86D91">
        <w:rPr>
          <w:rFonts w:asciiTheme="minorEastAsia" w:hAnsiTheme="minorEastAsia" w:hint="eastAsia"/>
          <w:w w:val="98"/>
          <w:kern w:val="0"/>
          <w:sz w:val="24"/>
        </w:rPr>
        <w:lastRenderedPageBreak/>
        <w:t>男中音（Baritone）是一种介于男低音和男高音之间的声部，其同时或可兼具男高音和男低音的一些特色。一般可分为抒情男中音、戏剧男中音和</w:t>
      </w:r>
      <w:proofErr w:type="gramStart"/>
      <w:r w:rsidRPr="00F86D91">
        <w:rPr>
          <w:rFonts w:asciiTheme="minorEastAsia" w:hAnsiTheme="minorEastAsia" w:hint="eastAsia"/>
          <w:w w:val="98"/>
          <w:kern w:val="0"/>
          <w:sz w:val="24"/>
        </w:rPr>
        <w:t>威尔</w:t>
      </w:r>
      <w:proofErr w:type="gramEnd"/>
      <w:r w:rsidRPr="00F86D91">
        <w:rPr>
          <w:rFonts w:asciiTheme="minorEastAsia" w:hAnsiTheme="minorEastAsia" w:hint="eastAsia"/>
          <w:w w:val="98"/>
          <w:kern w:val="0"/>
          <w:sz w:val="24"/>
        </w:rPr>
        <w:t>第男中音等。</w:t>
      </w:r>
    </w:p>
    <w:p w14:paraId="3C9800D9" w14:textId="77777777" w:rsidR="004538D4" w:rsidRPr="00F86D91" w:rsidRDefault="004538D4" w:rsidP="004538D4">
      <w:pPr>
        <w:spacing w:line="360" w:lineRule="auto"/>
        <w:rPr>
          <w:rFonts w:asciiTheme="minorEastAsia" w:hAnsiTheme="minorEastAsia"/>
          <w:w w:val="98"/>
          <w:kern w:val="0"/>
          <w:sz w:val="24"/>
        </w:rPr>
      </w:pPr>
      <w:r w:rsidRPr="00F86D91">
        <w:rPr>
          <w:rFonts w:asciiTheme="minorEastAsia" w:hAnsiTheme="minorEastAsia" w:hint="eastAsia"/>
          <w:w w:val="98"/>
          <w:kern w:val="0"/>
          <w:sz w:val="24"/>
        </w:rPr>
        <w:t>抒情男中音是以抒情见长的高男中音。音色洪亮、明亮、美丽且连贯，具有良好的共鸣，但属相对较小号的声音。</w:t>
      </w:r>
    </w:p>
    <w:p w14:paraId="2E6561D2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【资料来源】</w:t>
      </w:r>
    </w:p>
    <w:p w14:paraId="026678BB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论文名：以歌剧《魔笛》中的“帕帕基诺”和歌剧《塞维利亚理发师》中“费加罗”为例浅析抒情男中音在歌剧中的演唱特点及发展</w:t>
      </w:r>
    </w:p>
    <w:p w14:paraId="30323D54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作者：</w:t>
      </w:r>
      <w:proofErr w:type="gramStart"/>
      <w:r w:rsidRPr="004538D4">
        <w:rPr>
          <w:rFonts w:ascii="楷体" w:eastAsia="楷体" w:hAnsi="楷体" w:hint="eastAsia"/>
          <w:w w:val="98"/>
          <w:kern w:val="0"/>
        </w:rPr>
        <w:t>杨千毅</w:t>
      </w:r>
      <w:proofErr w:type="gramEnd"/>
    </w:p>
    <w:p w14:paraId="12679D7B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出处：中国知网</w:t>
      </w:r>
    </w:p>
    <w:p w14:paraId="2C11399F" w14:textId="16FBAAE6" w:rsidR="004538D4" w:rsidRPr="00F86D91" w:rsidRDefault="004538D4" w:rsidP="004538D4">
      <w:pPr>
        <w:spacing w:line="360" w:lineRule="auto"/>
        <w:rPr>
          <w:rFonts w:asciiTheme="majorEastAsia" w:eastAsiaTheme="majorEastAsia" w:hAnsiTheme="majorEastAsia"/>
          <w:b/>
          <w:w w:val="98"/>
          <w:kern w:val="0"/>
          <w:sz w:val="24"/>
        </w:rPr>
      </w:pPr>
      <w:r w:rsidRPr="00F86D91">
        <w:rPr>
          <w:rFonts w:asciiTheme="majorEastAsia" w:eastAsiaTheme="majorEastAsia" w:hAnsiTheme="majorEastAsia" w:hint="eastAsia"/>
          <w:b/>
          <w:w w:val="98"/>
          <w:kern w:val="0"/>
          <w:sz w:val="24"/>
        </w:rPr>
        <w:t>二、推荐欣赏</w:t>
      </w:r>
    </w:p>
    <w:p w14:paraId="3FD989F7" w14:textId="4FD7E863" w:rsidR="004538D4" w:rsidRPr="00F86D91" w:rsidRDefault="00F86D91" w:rsidP="004538D4">
      <w:pPr>
        <w:spacing w:line="360" w:lineRule="auto"/>
        <w:rPr>
          <w:rFonts w:asciiTheme="minorEastAsia" w:hAnsiTheme="minorEastAsia"/>
          <w:w w:val="98"/>
          <w:kern w:val="0"/>
          <w:sz w:val="24"/>
        </w:rPr>
      </w:pPr>
      <w:r>
        <w:rPr>
          <w:rFonts w:ascii="楷体" w:eastAsia="楷体" w:hAnsi="楷体"/>
          <w:noProof/>
          <w:w w:val="98"/>
          <w:kern w:val="0"/>
        </w:rPr>
        <w:drawing>
          <wp:anchor distT="0" distB="0" distL="114300" distR="114300" simplePos="0" relativeHeight="251660800" behindDoc="1" locked="0" layoutInCell="1" allowOverlap="1" wp14:anchorId="7AB5699A" wp14:editId="092B141E">
            <wp:simplePos x="0" y="0"/>
            <wp:positionH relativeFrom="column">
              <wp:posOffset>3264440</wp:posOffset>
            </wp:positionH>
            <wp:positionV relativeFrom="paragraph">
              <wp:posOffset>5886</wp:posOffset>
            </wp:positionV>
            <wp:extent cx="1840865" cy="1627505"/>
            <wp:effectExtent l="0" t="0" r="698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38D4" w:rsidRPr="00F86D91">
        <w:rPr>
          <w:rFonts w:asciiTheme="minorEastAsia" w:hAnsiTheme="minorEastAsia" w:hint="eastAsia"/>
          <w:w w:val="98"/>
          <w:kern w:val="0"/>
          <w:sz w:val="24"/>
        </w:rPr>
        <w:t xml:space="preserve">１．比才－《卡门》　</w:t>
      </w:r>
    </w:p>
    <w:p w14:paraId="178E928A" w14:textId="2175E242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【资料来源】</w:t>
      </w:r>
    </w:p>
    <w:p w14:paraId="53986863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专辑名称：乔治·比才－《CARMEN》</w:t>
      </w:r>
    </w:p>
    <w:p w14:paraId="18E976E8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专辑风格：classic古典</w:t>
      </w:r>
    </w:p>
    <w:p w14:paraId="4F836D0F" w14:textId="77777777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</w:rPr>
      </w:pPr>
      <w:r w:rsidRPr="004538D4">
        <w:rPr>
          <w:rFonts w:ascii="楷体" w:eastAsia="楷体" w:hAnsi="楷体" w:hint="eastAsia"/>
          <w:w w:val="98"/>
          <w:kern w:val="0"/>
        </w:rPr>
        <w:t>指挥:Herbert von Karajan</w:t>
      </w:r>
    </w:p>
    <w:p w14:paraId="3C80E449" w14:textId="7FFBBCED" w:rsidR="004538D4" w:rsidRPr="004538D4" w:rsidRDefault="004538D4" w:rsidP="00F86D91">
      <w:pPr>
        <w:spacing w:line="360" w:lineRule="auto"/>
        <w:ind w:firstLineChars="200" w:firstLine="410"/>
        <w:rPr>
          <w:rFonts w:ascii="楷体" w:eastAsia="楷体" w:hAnsi="楷体"/>
          <w:w w:val="98"/>
          <w:kern w:val="0"/>
          <w:highlight w:val="yellow"/>
        </w:rPr>
      </w:pPr>
      <w:r w:rsidRPr="004538D4">
        <w:rPr>
          <w:rFonts w:ascii="楷体" w:eastAsia="楷体" w:hAnsi="楷体" w:hint="eastAsia"/>
          <w:w w:val="98"/>
          <w:kern w:val="0"/>
        </w:rPr>
        <w:t>演出团体:Berlin Philharmonic</w:t>
      </w:r>
      <w:bookmarkStart w:id="0" w:name="_GoBack"/>
      <w:bookmarkEnd w:id="0"/>
    </w:p>
    <w:p w14:paraId="5433FDE9" w14:textId="028DB617" w:rsidR="00695CEF" w:rsidRPr="004538D4" w:rsidRDefault="00695CEF" w:rsidP="00695CEF">
      <w:pPr>
        <w:spacing w:line="360" w:lineRule="auto"/>
        <w:rPr>
          <w:rFonts w:ascii="楷体" w:eastAsia="楷体" w:hAnsi="楷体"/>
        </w:rPr>
      </w:pPr>
    </w:p>
    <w:sectPr w:rsidR="00695CEF" w:rsidRPr="004538D4" w:rsidSect="00F86D9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98B1C7"/>
    <w:multiLevelType w:val="multilevel"/>
    <w:tmpl w:val="8298B1C7"/>
    <w:lvl w:ilvl="0">
      <w:start w:val="1"/>
      <w:numFmt w:val="decimal"/>
      <w:pStyle w:val="1"/>
      <w:isLgl/>
      <w:lvlText w:val="%1."/>
      <w:lvlJc w:val="left"/>
      <w:pPr>
        <w:ind w:left="425" w:hanging="425"/>
      </w:pPr>
      <w:rPr>
        <w:rFonts w:ascii="宋体" w:eastAsia="宋体" w:hAnsi="宋体" w:cs="宋体" w:hint="default"/>
        <w:color w:val="F7CAAC" w:themeColor="accent2" w:themeTint="66"/>
      </w:rPr>
    </w:lvl>
    <w:lvl w:ilvl="1">
      <w:start w:val="1"/>
      <w:numFmt w:val="decimal"/>
      <w:lvlRestart w:val="0"/>
      <w:pStyle w:val="2"/>
      <w:isLgl/>
      <w:lvlText w:val="%1.%2."/>
      <w:lvlJc w:val="left"/>
      <w:pPr>
        <w:ind w:left="567" w:hanging="567"/>
      </w:pPr>
      <w:rPr>
        <w:rFonts w:ascii="宋体" w:eastAsia="宋体" w:hAnsi="宋体" w:cs="宋体" w:hint="default"/>
        <w:color w:val="00B0F0"/>
      </w:rPr>
    </w:lvl>
    <w:lvl w:ilvl="2">
      <w:start w:val="1"/>
      <w:numFmt w:val="decimal"/>
      <w:pStyle w:val="3"/>
      <w:isLgl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BA"/>
    <w:rsid w:val="000A2025"/>
    <w:rsid w:val="000A682A"/>
    <w:rsid w:val="001552F1"/>
    <w:rsid w:val="001C2F71"/>
    <w:rsid w:val="0022111C"/>
    <w:rsid w:val="0025273D"/>
    <w:rsid w:val="002D334C"/>
    <w:rsid w:val="003D3897"/>
    <w:rsid w:val="003E49FD"/>
    <w:rsid w:val="003F42A2"/>
    <w:rsid w:val="00433680"/>
    <w:rsid w:val="00450276"/>
    <w:rsid w:val="004538D4"/>
    <w:rsid w:val="005A328E"/>
    <w:rsid w:val="005D5D51"/>
    <w:rsid w:val="00610795"/>
    <w:rsid w:val="006222AA"/>
    <w:rsid w:val="00695CEF"/>
    <w:rsid w:val="006D73FE"/>
    <w:rsid w:val="007907A4"/>
    <w:rsid w:val="007914BA"/>
    <w:rsid w:val="008A09C5"/>
    <w:rsid w:val="008E17BE"/>
    <w:rsid w:val="009102FF"/>
    <w:rsid w:val="0091275E"/>
    <w:rsid w:val="00A479A5"/>
    <w:rsid w:val="00A568BB"/>
    <w:rsid w:val="00AD104B"/>
    <w:rsid w:val="00AD5EEF"/>
    <w:rsid w:val="00AF0F20"/>
    <w:rsid w:val="00B537D0"/>
    <w:rsid w:val="00B8713B"/>
    <w:rsid w:val="00BC6331"/>
    <w:rsid w:val="00C32748"/>
    <w:rsid w:val="00C504A3"/>
    <w:rsid w:val="00C72E5C"/>
    <w:rsid w:val="00CF5B79"/>
    <w:rsid w:val="00D251BB"/>
    <w:rsid w:val="00D64990"/>
    <w:rsid w:val="00DC124F"/>
    <w:rsid w:val="00DD52E7"/>
    <w:rsid w:val="00E26A5E"/>
    <w:rsid w:val="00EB5407"/>
    <w:rsid w:val="00F10C25"/>
    <w:rsid w:val="00F1263C"/>
    <w:rsid w:val="00F86D91"/>
    <w:rsid w:val="00FD57E0"/>
    <w:rsid w:val="01BE06BB"/>
    <w:rsid w:val="05987BF4"/>
    <w:rsid w:val="076E7AA7"/>
    <w:rsid w:val="08933C26"/>
    <w:rsid w:val="0E154D1D"/>
    <w:rsid w:val="19F65FD0"/>
    <w:rsid w:val="1C6D1BD2"/>
    <w:rsid w:val="1E03369A"/>
    <w:rsid w:val="21797EE1"/>
    <w:rsid w:val="21CB5A99"/>
    <w:rsid w:val="23FD0339"/>
    <w:rsid w:val="25320939"/>
    <w:rsid w:val="29CC25B4"/>
    <w:rsid w:val="2A146297"/>
    <w:rsid w:val="314B428B"/>
    <w:rsid w:val="33CB1799"/>
    <w:rsid w:val="374C220D"/>
    <w:rsid w:val="38086495"/>
    <w:rsid w:val="3955009F"/>
    <w:rsid w:val="398364A6"/>
    <w:rsid w:val="3E912652"/>
    <w:rsid w:val="3EB80EFD"/>
    <w:rsid w:val="417A1D56"/>
    <w:rsid w:val="423874A1"/>
    <w:rsid w:val="42DA5640"/>
    <w:rsid w:val="4F635314"/>
    <w:rsid w:val="51B218E2"/>
    <w:rsid w:val="52866A74"/>
    <w:rsid w:val="5D3C57C2"/>
    <w:rsid w:val="68E15D5D"/>
    <w:rsid w:val="696E48D9"/>
    <w:rsid w:val="6E42364C"/>
    <w:rsid w:val="6F494706"/>
    <w:rsid w:val="6FA84100"/>
    <w:rsid w:val="739D24D0"/>
    <w:rsid w:val="757913E4"/>
    <w:rsid w:val="75C34624"/>
    <w:rsid w:val="77AC2A6B"/>
    <w:rsid w:val="77C56986"/>
    <w:rsid w:val="783E6C56"/>
    <w:rsid w:val="7C2F5999"/>
    <w:rsid w:val="7D5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04A5A"/>
  <w15:docId w15:val="{6D68CED1-0664-480B-9782-F6BD516D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rFonts w:asciiTheme="minorHAnsi" w:eastAsiaTheme="minorEastAsia" w:hAnsiTheme="minorHAnsi"/>
      <w:b/>
      <w:sz w:val="32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D67B9-8A30-4AC2-9382-23BB6694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Microsoft 帐户</cp:lastModifiedBy>
  <cp:revision>31</cp:revision>
  <dcterms:created xsi:type="dcterms:W3CDTF">2020-05-19T02:55:00Z</dcterms:created>
  <dcterms:modified xsi:type="dcterms:W3CDTF">2021-05-31T14:39:00Z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