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学习主题：北京喜讯到边寨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北京喜讯到边寨</w:t>
      </w:r>
      <w:r>
        <w:rPr>
          <w:rFonts w:hint="eastAsia" w:asciiTheme="minorEastAsia" w:hAnsiTheme="minorEastAsia"/>
          <w:sz w:val="28"/>
          <w:szCs w:val="28"/>
          <w:lang w:eastAsia="zh-CN"/>
        </w:rPr>
        <w:t>》。</w:t>
      </w:r>
      <w:r>
        <w:rPr>
          <w:rFonts w:hint="eastAsia" w:asciiTheme="minorEastAsia" w:hAnsiTheme="minorEastAsia"/>
          <w:sz w:val="28"/>
          <w:szCs w:val="28"/>
        </w:rPr>
        <w:t>这节课我们将了解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北京喜讯到边寨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这首非常经典的管弦乐作品。在感受乐曲喜庆热烈的同时，通过欣赏活动体会乐曲多个主题依次描绘出的生动场面。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tabs>
          <w:tab w:val="left" w:pos="630"/>
        </w:tabs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活动1：聆听介绍了解作品背景，做好分段聆听的准备。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活动2：通过游戏分主题欣赏作品，体会各主题表现的内容和场景。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活动3：观看《北京喜讯到边寨》演出视频，直观感受交响乐的魅力。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114300" distR="114300">
            <wp:extent cx="5604510" cy="3851910"/>
            <wp:effectExtent l="0" t="0" r="8890" b="8890"/>
            <wp:docPr id="1" name="图片 1" descr="33bc9f1d4d83380e2eea484fe52b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bc9f1d4d83380e2eea484fe52b432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26C4B"/>
    <w:rsid w:val="00753B1B"/>
    <w:rsid w:val="00755FAE"/>
    <w:rsid w:val="00756BB1"/>
    <w:rsid w:val="007725B9"/>
    <w:rsid w:val="00783066"/>
    <w:rsid w:val="007E0AB7"/>
    <w:rsid w:val="00803F16"/>
    <w:rsid w:val="00837D8B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1706F"/>
    <w:rsid w:val="00E23546"/>
    <w:rsid w:val="00E70C0F"/>
    <w:rsid w:val="00ED5B29"/>
    <w:rsid w:val="00EF14EA"/>
    <w:rsid w:val="00EF7348"/>
    <w:rsid w:val="00F23967"/>
    <w:rsid w:val="00F66C62"/>
    <w:rsid w:val="00FB27DA"/>
    <w:rsid w:val="01F82F20"/>
    <w:rsid w:val="265B2194"/>
    <w:rsid w:val="4E9D0C77"/>
    <w:rsid w:val="59B50BCC"/>
    <w:rsid w:val="64CB6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2021-03-20T02:35:40Z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897BE3349FB94AA9917452E963A6FD92</vt:lpwstr>
  </property>
</Properties>
</file>