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29" w:rsidRDefault="00D15FDE">
      <w:pPr>
        <w:spacing w:line="360" w:lineRule="auto"/>
        <w:jc w:val="center"/>
        <w:rPr>
          <w:rFonts w:ascii="宋体" w:eastAsia="宋体" w:hAnsi="宋体" w:cs="宋体" w:hint="default"/>
          <w:b/>
          <w:bCs/>
          <w:sz w:val="30"/>
          <w:szCs w:val="30"/>
        </w:rPr>
      </w:pPr>
      <w:r>
        <w:rPr>
          <w:rFonts w:ascii="宋体" w:eastAsia="宋体" w:hAnsi="宋体" w:cs="宋体"/>
          <w:b/>
          <w:bCs/>
          <w:sz w:val="30"/>
          <w:szCs w:val="30"/>
          <w:lang w:val="zh-CN"/>
        </w:rPr>
        <w:t>八年级音乐</w:t>
      </w:r>
      <w:r>
        <w:rPr>
          <w:rFonts w:ascii="宋体" w:eastAsia="宋体" w:hAnsi="宋体" w:cs="宋体"/>
          <w:b/>
          <w:bCs/>
          <w:sz w:val="30"/>
          <w:szCs w:val="30"/>
          <w:lang w:val="zh-CN"/>
        </w:rPr>
        <w:t xml:space="preserve"> </w:t>
      </w:r>
      <w:r>
        <w:rPr>
          <w:rFonts w:ascii="宋体" w:eastAsia="宋体" w:hAnsi="宋体" w:cs="宋体"/>
          <w:b/>
          <w:bCs/>
          <w:sz w:val="30"/>
          <w:szCs w:val="30"/>
          <w:lang w:val="zh-TW" w:eastAsia="zh-TW"/>
        </w:rPr>
        <w:t>第</w:t>
      </w:r>
      <w:r>
        <w:rPr>
          <w:rFonts w:ascii="宋体" w:eastAsia="宋体" w:hAnsi="宋体" w:cs="宋体"/>
          <w:b/>
          <w:bCs/>
          <w:sz w:val="30"/>
          <w:szCs w:val="30"/>
          <w:lang w:val="zh-CN"/>
        </w:rPr>
        <w:t>3</w:t>
      </w:r>
      <w:r>
        <w:rPr>
          <w:rFonts w:ascii="宋体" w:eastAsia="宋体" w:hAnsi="宋体" w:cs="宋体"/>
          <w:b/>
          <w:bCs/>
          <w:sz w:val="30"/>
          <w:szCs w:val="30"/>
          <w:lang w:val="zh-TW" w:eastAsia="zh-TW"/>
        </w:rPr>
        <w:t>课时《</w:t>
      </w:r>
      <w:r>
        <w:rPr>
          <w:rFonts w:ascii="宋体" w:eastAsia="宋体" w:hAnsi="宋体" w:cs="宋体"/>
          <w:b/>
          <w:bCs/>
          <w:sz w:val="30"/>
          <w:szCs w:val="30"/>
          <w:lang w:val="zh-CN"/>
        </w:rPr>
        <w:t>主调音乐与复调音乐</w:t>
      </w:r>
      <w:r>
        <w:rPr>
          <w:rFonts w:ascii="宋体" w:eastAsia="宋体" w:hAnsi="宋体" w:cs="宋体"/>
          <w:b/>
          <w:bCs/>
          <w:sz w:val="30"/>
          <w:szCs w:val="30"/>
          <w:lang w:val="zh-TW" w:eastAsia="zh-TW"/>
        </w:rPr>
        <w:t>》拓展资源</w:t>
      </w:r>
    </w:p>
    <w:p w:rsidR="00A55729" w:rsidRDefault="00A55729">
      <w:pPr>
        <w:spacing w:line="360" w:lineRule="auto"/>
        <w:ind w:firstLineChars="200" w:firstLine="480"/>
        <w:jc w:val="left"/>
        <w:rPr>
          <w:rFonts w:ascii="宋体" w:eastAsia="宋体" w:hAnsi="宋体" w:cs="宋体" w:hint="default"/>
          <w:sz w:val="24"/>
          <w:szCs w:val="24"/>
        </w:rPr>
      </w:pPr>
    </w:p>
    <w:p w:rsidR="00A55729" w:rsidRDefault="00D15FDE">
      <w:pPr>
        <w:spacing w:line="360" w:lineRule="auto"/>
        <w:ind w:firstLineChars="200" w:firstLine="482"/>
        <w:jc w:val="left"/>
        <w:rPr>
          <w:rFonts w:eastAsiaTheme="minorEastAsia" w:hint="default"/>
          <w:b/>
          <w:color w:val="auto"/>
          <w:sz w:val="24"/>
          <w:szCs w:val="24"/>
          <w:lang w:val="zh-CN"/>
        </w:rPr>
      </w:pPr>
      <w:r>
        <w:rPr>
          <w:rFonts w:ascii="宋体" w:eastAsia="宋体" w:hAnsi="宋体" w:cs="宋体"/>
          <w:b/>
          <w:color w:val="auto"/>
          <w:sz w:val="24"/>
          <w:szCs w:val="24"/>
          <w:lang w:val="zh-CN"/>
        </w:rPr>
        <w:t>文字资源</w:t>
      </w:r>
      <w:r>
        <w:rPr>
          <w:rFonts w:ascii="宋体" w:eastAsia="宋体" w:hAnsi="宋体" w:cs="宋体"/>
          <w:b/>
          <w:color w:val="auto"/>
          <w:sz w:val="24"/>
          <w:szCs w:val="24"/>
          <w:lang w:val="zh-CN"/>
        </w:rPr>
        <w:t xml:space="preserve"> </w:t>
      </w:r>
    </w:p>
    <w:p w:rsidR="00A55729" w:rsidRPr="00460443" w:rsidRDefault="00460443" w:rsidP="00460443">
      <w:pPr>
        <w:spacing w:line="360" w:lineRule="auto"/>
        <w:ind w:firstLineChars="200" w:firstLine="482"/>
        <w:jc w:val="left"/>
        <w:rPr>
          <w:rFonts w:ascii="宋体" w:eastAsia="宋体" w:hAnsi="宋体" w:cs="宋体" w:hint="default"/>
          <w:b/>
          <w:sz w:val="24"/>
          <w:szCs w:val="24"/>
          <w:lang w:val="zh-CN"/>
        </w:rPr>
      </w:pPr>
      <w:r w:rsidRPr="00460443">
        <w:rPr>
          <w:rFonts w:ascii="宋体" w:eastAsia="宋体" w:hAnsi="宋体" w:cs="宋体"/>
          <w:b/>
          <w:sz w:val="24"/>
          <w:szCs w:val="24"/>
          <w:lang w:val="zh-CN"/>
        </w:rPr>
        <w:t>一、</w:t>
      </w:r>
      <w:r w:rsidR="00D15FDE" w:rsidRPr="00460443">
        <w:rPr>
          <w:rFonts w:ascii="宋体" w:eastAsia="宋体" w:hAnsi="宋体" w:cs="宋体"/>
          <w:b/>
          <w:sz w:val="24"/>
          <w:szCs w:val="24"/>
          <w:lang w:val="zh-CN"/>
        </w:rPr>
        <w:t>帕赫贝尔与《</w:t>
      </w:r>
      <w:r w:rsidR="00D15FDE" w:rsidRPr="00460443">
        <w:rPr>
          <w:rFonts w:ascii="Songti SC Bold" w:hAnsi="Songti SC Bold"/>
          <w:b/>
          <w:sz w:val="24"/>
          <w:szCs w:val="24"/>
          <w:lang w:val="zh-CN"/>
        </w:rPr>
        <w:t>D</w:t>
      </w:r>
      <w:r w:rsidR="00D15FDE" w:rsidRPr="00460443">
        <w:rPr>
          <w:rFonts w:ascii="宋体" w:eastAsia="宋体" w:hAnsi="宋体" w:cs="宋体"/>
          <w:b/>
          <w:sz w:val="24"/>
          <w:szCs w:val="24"/>
          <w:lang w:val="zh-CN"/>
        </w:rPr>
        <w:t>大调卡农与吉格舞曲》</w:t>
      </w:r>
    </w:p>
    <w:p w:rsidR="00A55729" w:rsidRPr="00460443" w:rsidRDefault="00460443" w:rsidP="00460443">
      <w:pPr>
        <w:spacing w:line="360" w:lineRule="auto"/>
        <w:ind w:firstLineChars="200" w:firstLine="482"/>
        <w:jc w:val="left"/>
        <w:rPr>
          <w:rFonts w:ascii="Songti SC Bold" w:eastAsia="Songti SC Bold" w:hAnsi="Songti SC Bold" w:cs="Songti SC Bold" w:hint="default"/>
          <w:b/>
          <w:sz w:val="24"/>
          <w:szCs w:val="24"/>
        </w:rPr>
      </w:pPr>
      <w:r w:rsidRPr="00460443">
        <w:rPr>
          <w:rFonts w:asciiTheme="minorEastAsia" w:eastAsiaTheme="minorEastAsia" w:hAnsiTheme="minorEastAsia"/>
          <w:b/>
          <w:color w:val="444444"/>
          <w:sz w:val="24"/>
          <w:szCs w:val="24"/>
          <w:lang w:val="zh-CN"/>
        </w:rPr>
        <w:t>（一）</w:t>
      </w:r>
      <w:r w:rsidR="00D15FDE" w:rsidRPr="00460443">
        <w:rPr>
          <w:rFonts w:asciiTheme="minorEastAsia" w:eastAsiaTheme="minorEastAsia" w:hAnsiTheme="minorEastAsia"/>
          <w:b/>
          <w:color w:val="444444"/>
          <w:sz w:val="24"/>
          <w:szCs w:val="24"/>
          <w:lang w:val="zh-CN"/>
        </w:rPr>
        <w:t>约翰</w:t>
      </w:r>
      <w:r w:rsidR="00D15FDE" w:rsidRPr="00460443">
        <w:rPr>
          <w:rFonts w:asciiTheme="minorEastAsia" w:eastAsiaTheme="minorEastAsia" w:hAnsiTheme="minorEastAsia" w:hint="default"/>
          <w:b/>
          <w:color w:val="444444"/>
          <w:sz w:val="24"/>
          <w:szCs w:val="24"/>
          <w:lang w:val="zh-CN"/>
        </w:rPr>
        <w:t>·</w:t>
      </w:r>
      <w:r w:rsidR="00D15FDE" w:rsidRPr="00460443">
        <w:rPr>
          <w:rFonts w:asciiTheme="minorEastAsia" w:eastAsiaTheme="minorEastAsia" w:hAnsiTheme="minorEastAsia"/>
          <w:b/>
          <w:color w:val="444444"/>
          <w:sz w:val="24"/>
          <w:szCs w:val="24"/>
          <w:lang w:val="zh-CN"/>
        </w:rPr>
        <w:t>帕赫贝尔</w:t>
      </w:r>
    </w:p>
    <w:p w:rsidR="00A55729" w:rsidRDefault="00D15FDE">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宋体" w:eastAsia="宋体" w:hAnsi="宋体"/>
          <w:color w:val="444444"/>
        </w:rPr>
      </w:pPr>
      <w:r>
        <w:rPr>
          <w:rFonts w:asciiTheme="minorEastAsia" w:eastAsiaTheme="minorEastAsia" w:hAnsiTheme="minorEastAsia" w:hint="eastAsia"/>
          <w:color w:val="444444"/>
        </w:rPr>
        <w:t>约翰</w:t>
      </w:r>
      <w:r>
        <w:rPr>
          <w:rFonts w:asciiTheme="minorEastAsia" w:eastAsiaTheme="minorEastAsia" w:hAnsiTheme="minorEastAsia" w:hint="eastAsia"/>
          <w:color w:val="444444"/>
        </w:rPr>
        <w:t xml:space="preserve"> </w:t>
      </w:r>
      <w:r>
        <w:rPr>
          <w:rFonts w:asciiTheme="minorEastAsia" w:eastAsiaTheme="minorEastAsia" w:hAnsiTheme="minorEastAsia"/>
          <w:color w:val="444444"/>
          <w:lang w:val="de-DE"/>
        </w:rPr>
        <w:t>·</w:t>
      </w:r>
      <w:r>
        <w:rPr>
          <w:rFonts w:asciiTheme="minorEastAsia" w:eastAsiaTheme="minorEastAsia" w:hAnsiTheme="minorEastAsia" w:hint="eastAsia"/>
          <w:color w:val="444444"/>
        </w:rPr>
        <w:t>帕赫贝尔</w:t>
      </w:r>
      <w:r>
        <w:rPr>
          <w:rFonts w:asciiTheme="minorEastAsia" w:eastAsiaTheme="minorEastAsia" w:hAnsiTheme="minorEastAsia" w:hint="eastAsia"/>
          <w:color w:val="auto"/>
        </w:rPr>
        <w:t>（</w:t>
      </w:r>
      <w:r>
        <w:rPr>
          <w:rFonts w:asciiTheme="minorEastAsia" w:eastAsiaTheme="minorEastAsia" w:hAnsiTheme="minorEastAsia" w:hint="eastAsia"/>
          <w:color w:val="444444"/>
        </w:rPr>
        <w:t>德语：</w:t>
      </w:r>
      <w:r>
        <w:rPr>
          <w:rFonts w:asciiTheme="minorEastAsia" w:eastAsiaTheme="minorEastAsia" w:hAnsiTheme="minorEastAsia"/>
          <w:color w:val="444444"/>
          <w:lang w:val="en-US"/>
        </w:rPr>
        <w:t>Johann Pachelbel</w:t>
      </w:r>
      <w:r>
        <w:rPr>
          <w:rFonts w:asciiTheme="minorEastAsia" w:eastAsiaTheme="minorEastAsia" w:hAnsiTheme="minorEastAsia"/>
          <w:color w:val="444444"/>
        </w:rPr>
        <w:t xml:space="preserve"> 1653</w:t>
      </w:r>
      <w:r>
        <w:rPr>
          <w:rFonts w:asciiTheme="minorEastAsia" w:eastAsiaTheme="minorEastAsia" w:hAnsiTheme="minorEastAsia" w:hint="eastAsia"/>
          <w:color w:val="444444"/>
        </w:rPr>
        <w:t>年</w:t>
      </w:r>
      <w:r>
        <w:rPr>
          <w:rFonts w:asciiTheme="minorEastAsia" w:eastAsiaTheme="minorEastAsia" w:hAnsiTheme="minorEastAsia"/>
          <w:color w:val="444444"/>
        </w:rPr>
        <w:t>9</w:t>
      </w:r>
      <w:r>
        <w:rPr>
          <w:rFonts w:asciiTheme="minorEastAsia" w:eastAsiaTheme="minorEastAsia" w:hAnsiTheme="minorEastAsia" w:hint="eastAsia"/>
          <w:color w:val="444444"/>
        </w:rPr>
        <w:t>月</w:t>
      </w:r>
      <w:r>
        <w:rPr>
          <w:rFonts w:asciiTheme="minorEastAsia" w:eastAsiaTheme="minorEastAsia" w:hAnsiTheme="minorEastAsia"/>
          <w:color w:val="444444"/>
        </w:rPr>
        <w:t>1</w:t>
      </w:r>
      <w:r>
        <w:rPr>
          <w:rFonts w:asciiTheme="minorEastAsia" w:eastAsiaTheme="minorEastAsia" w:hAnsiTheme="minorEastAsia" w:hint="eastAsia"/>
          <w:color w:val="444444"/>
        </w:rPr>
        <w:t>日</w:t>
      </w:r>
      <w:r>
        <w:rPr>
          <w:rFonts w:asciiTheme="minorEastAsia" w:eastAsiaTheme="minorEastAsia" w:hAnsiTheme="minorEastAsia" w:cs="Songti SC Regular"/>
          <w:noProof/>
          <w:color w:val="444444"/>
          <w:lang w:val="en-US"/>
        </w:rPr>
        <w:drawing>
          <wp:anchor distT="152400" distB="152400" distL="152400" distR="152400" simplePos="0" relativeHeight="251659264" behindDoc="0" locked="0" layoutInCell="1" allowOverlap="1">
            <wp:simplePos x="0" y="0"/>
            <wp:positionH relativeFrom="margin">
              <wp:posOffset>2828925</wp:posOffset>
            </wp:positionH>
            <wp:positionV relativeFrom="line">
              <wp:posOffset>372745</wp:posOffset>
            </wp:positionV>
            <wp:extent cx="2759710" cy="2162810"/>
            <wp:effectExtent l="0" t="0" r="0" b="0"/>
            <wp:wrapThrough wrapText="bothSides">
              <wp:wrapPolygon edited="0">
                <wp:start x="0" y="0"/>
                <wp:lineTo x="21600" y="0"/>
                <wp:lineTo x="21600" y="21600"/>
                <wp:lineTo x="0" y="21600"/>
                <wp:lineTo x="0" y="0"/>
              </wp:wrapPolygon>
            </wp:wrapThrough>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a:stretch>
                      <a:fillRect/>
                    </a:stretch>
                  </pic:blipFill>
                  <pic:spPr>
                    <a:xfrm>
                      <a:off x="0" y="0"/>
                      <a:ext cx="2759984" cy="2162549"/>
                    </a:xfrm>
                    <a:prstGeom prst="rect">
                      <a:avLst/>
                    </a:prstGeom>
                    <a:ln w="12700" cap="flat">
                      <a:noFill/>
                      <a:miter lim="400000"/>
                      <a:headEnd/>
                      <a:tailEnd/>
                    </a:ln>
                    <a:effectLst/>
                  </pic:spPr>
                </pic:pic>
              </a:graphicData>
            </a:graphic>
          </wp:anchor>
        </w:drawing>
      </w:r>
      <w:r>
        <w:rPr>
          <w:rFonts w:asciiTheme="minorEastAsia" w:eastAsiaTheme="minorEastAsia" w:hAnsiTheme="minorEastAsia"/>
          <w:color w:val="444444"/>
        </w:rPr>
        <w:t>—— 1706</w:t>
      </w:r>
      <w:r>
        <w:rPr>
          <w:rFonts w:asciiTheme="minorEastAsia" w:eastAsiaTheme="minorEastAsia" w:hAnsiTheme="minorEastAsia" w:hint="eastAsia"/>
          <w:color w:val="444444"/>
        </w:rPr>
        <w:t>年</w:t>
      </w:r>
      <w:r>
        <w:rPr>
          <w:rFonts w:asciiTheme="minorEastAsia" w:eastAsiaTheme="minorEastAsia" w:hAnsiTheme="minorEastAsia"/>
          <w:color w:val="444444"/>
        </w:rPr>
        <w:t>3</w:t>
      </w:r>
      <w:r>
        <w:rPr>
          <w:rFonts w:asciiTheme="minorEastAsia" w:eastAsiaTheme="minorEastAsia" w:hAnsiTheme="minorEastAsia" w:hint="eastAsia"/>
          <w:color w:val="444444"/>
        </w:rPr>
        <w:t>月</w:t>
      </w:r>
      <w:r>
        <w:rPr>
          <w:rFonts w:asciiTheme="minorEastAsia" w:eastAsiaTheme="minorEastAsia" w:hAnsiTheme="minorEastAsia"/>
          <w:color w:val="444444"/>
        </w:rPr>
        <w:t>9</w:t>
      </w:r>
      <w:r>
        <w:rPr>
          <w:rFonts w:asciiTheme="minorEastAsia" w:eastAsiaTheme="minorEastAsia" w:hAnsiTheme="minorEastAsia" w:hint="eastAsia"/>
          <w:color w:val="444444"/>
        </w:rPr>
        <w:t>日</w:t>
      </w:r>
      <w:r>
        <w:rPr>
          <w:rFonts w:asciiTheme="minorEastAsia" w:eastAsiaTheme="minorEastAsia" w:hAnsiTheme="minorEastAsia"/>
          <w:color w:val="auto"/>
          <w:lang w:val="en-US"/>
        </w:rPr>
        <w:t>)</w:t>
      </w:r>
      <w:r>
        <w:rPr>
          <w:rFonts w:asciiTheme="minorEastAsia" w:eastAsiaTheme="minorEastAsia" w:hAnsiTheme="minorEastAsia" w:hint="eastAsia"/>
          <w:color w:val="444444"/>
        </w:rPr>
        <w:t>巴洛克时期德国作曲家、管风琴家，出生于德国纽伦堡。他是当时德国主要的进步作曲家之一，主要创作管风琴作品和其他键盘乐器作品，被公认为卓越的教堂音乐和室内乐作曲家。</w:t>
      </w:r>
      <w:r>
        <w:rPr>
          <w:rFonts w:ascii="宋体" w:eastAsia="宋体" w:hAnsi="宋体" w:cs="宋体" w:hint="eastAsia"/>
          <w:color w:val="444444"/>
        </w:rPr>
        <w:t>《</w:t>
      </w:r>
      <w:r>
        <w:rPr>
          <w:rFonts w:ascii="宋体" w:eastAsia="宋体" w:hAnsi="宋体" w:cs="宋体" w:hint="eastAsia"/>
          <w:color w:val="444444"/>
        </w:rPr>
        <w:t xml:space="preserve"> D</w:t>
      </w:r>
      <w:r>
        <w:rPr>
          <w:rFonts w:ascii="宋体" w:eastAsia="宋体" w:hAnsi="宋体" w:cs="宋体" w:hint="eastAsia"/>
          <w:color w:val="444444"/>
        </w:rPr>
        <w:t>大调卡农与吉格舞曲》</w:t>
      </w:r>
      <w:r>
        <w:rPr>
          <w:rFonts w:ascii="宋体" w:eastAsia="宋体" w:hAnsi="宋体" w:hint="eastAsia"/>
          <w:color w:val="444444"/>
        </w:rPr>
        <w:t>全称《为三把小提琴和通奏低音创作的</w:t>
      </w:r>
      <w:r>
        <w:rPr>
          <w:rFonts w:ascii="宋体" w:eastAsia="宋体" w:hAnsi="宋体"/>
          <w:color w:val="444444"/>
        </w:rPr>
        <w:t>D</w:t>
      </w:r>
      <w:r>
        <w:rPr>
          <w:rFonts w:ascii="宋体" w:eastAsia="宋体" w:hAnsi="宋体" w:hint="eastAsia"/>
          <w:color w:val="444444"/>
        </w:rPr>
        <w:t>大调卡农与吉格舞曲》，创作于</w:t>
      </w:r>
      <w:r>
        <w:rPr>
          <w:rFonts w:ascii="宋体" w:eastAsia="宋体" w:hAnsi="宋体"/>
          <w:color w:val="444444"/>
        </w:rPr>
        <w:t>1680</w:t>
      </w:r>
      <w:r>
        <w:rPr>
          <w:rFonts w:ascii="宋体" w:eastAsia="宋体" w:hAnsi="宋体" w:hint="eastAsia"/>
          <w:color w:val="444444"/>
        </w:rPr>
        <w:t>年，是帕赫贝尔最为著名的一首室内乐作品。因为它的第一部分是非常著名的卡农曲，还曾被改编成多种不同版本，</w:t>
      </w:r>
      <w:r>
        <w:rPr>
          <w:rFonts w:ascii="宋体" w:eastAsia="宋体" w:hAnsi="宋体" w:hint="eastAsia"/>
          <w:color w:val="444444"/>
          <w:lang w:val="zh-TW" w:eastAsia="zh-TW"/>
        </w:rPr>
        <w:t>所以通常以</w:t>
      </w:r>
      <w:r>
        <w:rPr>
          <w:rFonts w:ascii="宋体" w:eastAsia="宋体" w:hAnsi="宋体"/>
          <w:color w:val="444444"/>
        </w:rPr>
        <w:t>“</w:t>
      </w:r>
      <w:r>
        <w:rPr>
          <w:rFonts w:ascii="宋体" w:eastAsia="宋体" w:hAnsi="宋体" w:hint="eastAsia"/>
          <w:color w:val="444444"/>
        </w:rPr>
        <w:t>卡农</w:t>
      </w:r>
      <w:r>
        <w:rPr>
          <w:rFonts w:ascii="宋体" w:eastAsia="宋体" w:hAnsi="宋体"/>
          <w:color w:val="444444"/>
        </w:rPr>
        <w:t>”</w:t>
      </w:r>
      <w:r>
        <w:rPr>
          <w:rFonts w:ascii="宋体" w:eastAsia="宋体" w:hAnsi="宋体" w:hint="eastAsia"/>
          <w:color w:val="444444"/>
        </w:rPr>
        <w:t>的名称广泛的传播开来。它的第二部分是吉格舞曲，与第一部分的卡农曲相比，吉格舞曲已经很少演奏。</w:t>
      </w:r>
    </w:p>
    <w:p w:rsidR="00460443" w:rsidRDefault="00D15FDE" w:rsidP="0046044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2"/>
        <w:rPr>
          <w:rFonts w:ascii="宋体" w:eastAsia="宋体" w:hAnsi="宋体" w:hint="eastAsia"/>
          <w:color w:val="444444"/>
        </w:rPr>
      </w:pPr>
      <w:r w:rsidRPr="00460443">
        <w:rPr>
          <w:rFonts w:ascii="宋体" w:eastAsia="宋体" w:hAnsi="宋体"/>
          <w:b/>
          <w:noProof/>
          <w:lang w:val="en-US"/>
        </w:rPr>
        <w:drawing>
          <wp:anchor distT="152400" distB="152400" distL="152400" distR="152400" simplePos="0" relativeHeight="251660288" behindDoc="0" locked="0" layoutInCell="1" allowOverlap="1">
            <wp:simplePos x="0" y="0"/>
            <wp:positionH relativeFrom="page">
              <wp:posOffset>1315085</wp:posOffset>
            </wp:positionH>
            <wp:positionV relativeFrom="page">
              <wp:posOffset>7484110</wp:posOffset>
            </wp:positionV>
            <wp:extent cx="4683125" cy="638175"/>
            <wp:effectExtent l="0" t="0" r="0" b="0"/>
            <wp:wrapTopAndBottom/>
            <wp:docPr id="1073741826" name="officeArt object" descr="卡农c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卡农cello"/>
                    <pic:cNvPicPr>
                      <a:picLocks noChangeAspect="1"/>
                    </pic:cNvPicPr>
                  </pic:nvPicPr>
                  <pic:blipFill>
                    <a:blip r:embed="rId8"/>
                    <a:srcRect l="16995" t="34534" r="22257" b="52443"/>
                    <a:stretch>
                      <a:fillRect/>
                    </a:stretch>
                  </pic:blipFill>
                  <pic:spPr>
                    <a:xfrm>
                      <a:off x="0" y="0"/>
                      <a:ext cx="4683250" cy="638315"/>
                    </a:xfrm>
                    <a:prstGeom prst="rect">
                      <a:avLst/>
                    </a:prstGeom>
                    <a:ln w="12700" cap="flat">
                      <a:noFill/>
                      <a:miter lim="400000"/>
                      <a:headEnd/>
                      <a:tailEnd/>
                    </a:ln>
                    <a:effectLst/>
                  </pic:spPr>
                </pic:pic>
              </a:graphicData>
            </a:graphic>
          </wp:anchor>
        </w:drawing>
      </w:r>
      <w:r w:rsidR="00460443">
        <w:rPr>
          <w:rFonts w:ascii="宋体" w:eastAsia="宋体" w:hAnsi="宋体" w:hint="eastAsia"/>
          <w:b/>
          <w:color w:val="444444"/>
        </w:rPr>
        <w:t>（二）</w:t>
      </w:r>
      <w:r w:rsidRPr="00460443">
        <w:rPr>
          <w:rFonts w:ascii="宋体" w:eastAsia="宋体" w:hAnsi="宋体" w:hint="eastAsia"/>
          <w:b/>
        </w:rPr>
        <w:t>《</w:t>
      </w:r>
      <w:r w:rsidRPr="00460443">
        <w:rPr>
          <w:rFonts w:ascii="宋体" w:eastAsia="宋体" w:hAnsi="宋体"/>
          <w:b/>
          <w:color w:val="444444"/>
        </w:rPr>
        <w:t>D</w:t>
      </w:r>
      <w:r w:rsidRPr="00460443">
        <w:rPr>
          <w:rFonts w:ascii="宋体" w:eastAsia="宋体" w:hAnsi="宋体" w:hint="eastAsia"/>
          <w:b/>
          <w:color w:val="444444"/>
        </w:rPr>
        <w:t>大调卡农》赏析</w:t>
      </w:r>
    </w:p>
    <w:p w:rsidR="009376E2" w:rsidRDefault="00D15FDE" w:rsidP="0046044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Songti SC Regular" w:eastAsiaTheme="minorEastAsia" w:hAnsi="Songti SC Regular" w:cs="Songti SC Regular" w:hint="eastAsia"/>
          <w:color w:val="444444"/>
        </w:rPr>
      </w:pPr>
      <w:r>
        <w:rPr>
          <w:rFonts w:ascii="宋体" w:eastAsia="宋体" w:hAnsi="宋体" w:hint="eastAsia"/>
          <w:color w:val="444444"/>
        </w:rPr>
        <w:t>这首作品中的卡农曲作为一首非常著名的卡农乐曲</w:t>
      </w:r>
      <w:r>
        <w:rPr>
          <w:rFonts w:ascii="宋体" w:eastAsia="宋体" w:hAnsi="宋体" w:hint="eastAsia"/>
          <w:color w:val="auto"/>
        </w:rPr>
        <w:t>，</w:t>
      </w:r>
      <w:r>
        <w:rPr>
          <w:rFonts w:ascii="宋体" w:eastAsia="宋体" w:hAnsi="宋体" w:hint="eastAsia"/>
          <w:color w:val="auto"/>
          <w:lang w:val="zh-TW" w:eastAsia="zh-TW"/>
        </w:rPr>
        <w:t xml:space="preserve"> </w:t>
      </w:r>
      <w:r>
        <w:rPr>
          <w:rFonts w:ascii="宋体" w:eastAsia="宋体" w:hAnsi="宋体" w:hint="eastAsia"/>
          <w:color w:val="auto"/>
          <w:lang w:val="zh-TW" w:eastAsia="zh-TW"/>
        </w:rPr>
        <w:t>通常以</w:t>
      </w:r>
      <w:r>
        <w:rPr>
          <w:rFonts w:ascii="宋体" w:eastAsia="宋体" w:hAnsi="宋体"/>
          <w:color w:val="auto"/>
          <w:rtl/>
          <w:lang w:val="ar-SA"/>
        </w:rPr>
        <w:t>“</w:t>
      </w:r>
      <w:r>
        <w:rPr>
          <w:rFonts w:ascii="宋体" w:eastAsia="宋体" w:hAnsi="宋体" w:hint="eastAsia"/>
          <w:color w:val="auto"/>
        </w:rPr>
        <w:t>卡农</w:t>
      </w:r>
      <w:r>
        <w:rPr>
          <w:rFonts w:ascii="宋体" w:eastAsia="宋体" w:hAnsi="宋体"/>
          <w:color w:val="auto"/>
        </w:rPr>
        <w:t>”</w:t>
      </w:r>
      <w:r>
        <w:rPr>
          <w:rFonts w:ascii="宋体" w:eastAsia="宋体" w:hAnsi="宋体" w:hint="eastAsia"/>
          <w:color w:val="auto"/>
        </w:rPr>
        <w:t>代指。实际上</w:t>
      </w:r>
      <w:r>
        <w:rPr>
          <w:rFonts w:ascii="宋体" w:eastAsia="宋体" w:hAnsi="宋体"/>
          <w:color w:val="auto"/>
          <w:rtl/>
          <w:lang w:val="ar-SA"/>
        </w:rPr>
        <w:t>“</w:t>
      </w:r>
      <w:r>
        <w:rPr>
          <w:rFonts w:ascii="宋体" w:eastAsia="宋体" w:hAnsi="宋体" w:hint="eastAsia"/>
          <w:color w:val="auto"/>
        </w:rPr>
        <w:t>卡农</w:t>
      </w:r>
      <w:r>
        <w:rPr>
          <w:rFonts w:ascii="宋体" w:eastAsia="宋体" w:hAnsi="宋体"/>
          <w:color w:val="auto"/>
        </w:rPr>
        <w:t>”</w:t>
      </w:r>
      <w:r>
        <w:rPr>
          <w:rFonts w:ascii="宋体" w:eastAsia="宋体" w:hAnsi="宋体" w:hint="eastAsia"/>
          <w:color w:val="auto"/>
        </w:rPr>
        <w:t>并非曲名，而是一种复调作曲技法。</w:t>
      </w:r>
      <w:r>
        <w:rPr>
          <w:rFonts w:ascii="宋体" w:eastAsia="宋体" w:hAnsi="宋体"/>
          <w:color w:val="auto"/>
          <w:rtl/>
          <w:lang w:val="ar-SA"/>
        </w:rPr>
        <w:t>“</w:t>
      </w:r>
      <w:r>
        <w:rPr>
          <w:rFonts w:ascii="宋体" w:eastAsia="宋体" w:hAnsi="宋体" w:hint="eastAsia"/>
          <w:color w:val="auto"/>
        </w:rPr>
        <w:t>卡农</w:t>
      </w:r>
      <w:r>
        <w:rPr>
          <w:rFonts w:ascii="宋体" w:eastAsia="宋体" w:hAnsi="宋体"/>
          <w:color w:val="auto"/>
        </w:rPr>
        <w:t>”</w:t>
      </w:r>
      <w:r>
        <w:rPr>
          <w:rFonts w:ascii="宋体" w:eastAsia="宋体" w:hAnsi="宋体" w:hint="eastAsia"/>
          <w:color w:val="auto"/>
        </w:rPr>
        <w:t>一词在</w:t>
      </w:r>
      <w:r>
        <w:rPr>
          <w:rFonts w:ascii="宋体" w:eastAsia="宋体" w:hAnsi="宋体" w:hint="eastAsia"/>
          <w:color w:val="444444"/>
        </w:rPr>
        <w:t>希腊文中有两种含义，一种是直线、线条；另一种是规则、标准、模式。卡农作为一种音乐复调形式，已连续传导性模仿技术为基础，往往模仿的声部还未结束时，</w:t>
      </w:r>
      <w:r>
        <w:rPr>
          <w:rFonts w:ascii="宋体" w:eastAsia="宋体" w:hAnsi="宋体" w:hint="eastAsia"/>
          <w:color w:val="444444"/>
        </w:rPr>
        <w:t>在另一个</w:t>
      </w:r>
      <w:r>
        <w:rPr>
          <w:rFonts w:eastAsia="Songti SC Regular" w:hint="eastAsia"/>
          <w:color w:val="444444"/>
        </w:rPr>
        <w:t>声部上的模仿即以开始。</w:t>
      </w:r>
    </w:p>
    <w:p w:rsidR="00A55729" w:rsidRDefault="00D15FDE" w:rsidP="0046044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宋体" w:eastAsia="宋体" w:hAnsi="宋体" w:cs="宋体"/>
          <w:color w:val="auto"/>
        </w:rPr>
      </w:pPr>
      <w:r>
        <w:rPr>
          <w:rFonts w:ascii="宋体" w:eastAsia="宋体" w:hAnsi="宋体" w:cs="宋体" w:hint="eastAsia"/>
          <w:color w:val="auto"/>
        </w:rPr>
        <w:t>本曲为</w:t>
      </w:r>
      <w:r>
        <w:rPr>
          <w:rFonts w:ascii="宋体" w:eastAsia="宋体" w:hAnsi="宋体" w:cs="宋体" w:hint="eastAsia"/>
          <w:color w:val="auto"/>
        </w:rPr>
        <w:t>D</w:t>
      </w:r>
      <w:r>
        <w:rPr>
          <w:rFonts w:ascii="宋体" w:eastAsia="宋体" w:hAnsi="宋体" w:cs="宋体" w:hint="eastAsia"/>
          <w:color w:val="auto"/>
        </w:rPr>
        <w:t>大调，四分之四拍。乐曲开头处以大提琴演奏通奏低音的部分</w:t>
      </w:r>
      <w:r>
        <w:rPr>
          <w:rFonts w:ascii="宋体" w:eastAsia="宋体" w:hAnsi="宋体" w:cs="宋体" w:hint="eastAsia"/>
          <w:color w:val="auto"/>
        </w:rPr>
        <w:t xml:space="preserve">, </w:t>
      </w:r>
      <w:r>
        <w:rPr>
          <w:rFonts w:ascii="宋体" w:eastAsia="宋体" w:hAnsi="宋体" w:cs="宋体" w:hint="eastAsia"/>
          <w:color w:val="auto"/>
        </w:rPr>
        <w:t>以每两小节为单位的和声进行，并不断循环了</w:t>
      </w:r>
      <w:r>
        <w:rPr>
          <w:rFonts w:ascii="宋体" w:eastAsia="宋体" w:hAnsi="宋体" w:cs="宋体" w:hint="eastAsia"/>
          <w:color w:val="auto"/>
        </w:rPr>
        <w:t>28</w:t>
      </w:r>
      <w:r>
        <w:rPr>
          <w:rFonts w:ascii="宋体" w:eastAsia="宋体" w:hAnsi="宋体" w:cs="宋体" w:hint="eastAsia"/>
          <w:color w:val="auto"/>
        </w:rPr>
        <w:t>次。</w:t>
      </w:r>
    </w:p>
    <w:p w:rsidR="009376E2" w:rsidRDefault="00D15FDE" w:rsidP="009376E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Theme="minorEastAsia" w:eastAsiaTheme="minorEastAsia" w:hAnsiTheme="minorEastAsia" w:cs="Songti SC Regular" w:hint="eastAsia"/>
          <w:color w:val="444444"/>
        </w:rPr>
      </w:pPr>
      <w:r>
        <w:rPr>
          <w:rFonts w:asciiTheme="minorEastAsia" w:eastAsiaTheme="minorEastAsia" w:hAnsiTheme="minorEastAsia" w:hint="eastAsia"/>
          <w:color w:val="444444"/>
        </w:rPr>
        <w:lastRenderedPageBreak/>
        <w:t>之后，上方的三把小提琴由上到下每隔两小节相继进入。</w:t>
      </w:r>
      <w:r>
        <w:rPr>
          <w:rFonts w:asciiTheme="minorEastAsia" w:eastAsiaTheme="minorEastAsia" w:hAnsiTheme="minorEastAsia" w:hint="eastAsia"/>
          <w:color w:val="444444"/>
          <w:lang w:val="zh-TW" w:eastAsia="zh-TW"/>
        </w:rPr>
        <w:t>小提琴全部演奏相同的旋律</w:t>
      </w:r>
      <w:r>
        <w:rPr>
          <w:rFonts w:asciiTheme="minorEastAsia" w:eastAsiaTheme="minorEastAsia" w:hAnsiTheme="minorEastAsia" w:hint="eastAsia"/>
          <w:color w:val="444444"/>
        </w:rPr>
        <w:t>，以两小节的时间距离进行模仿。旋律的变化主要以音符的时值变化引起，</w:t>
      </w:r>
      <w:r>
        <w:rPr>
          <w:rFonts w:asciiTheme="minorEastAsia" w:eastAsiaTheme="minorEastAsia" w:hAnsiTheme="minorEastAsia" w:hint="eastAsia"/>
          <w:color w:val="444444"/>
          <w:lang w:val="zh-TW" w:eastAsia="zh-TW"/>
        </w:rPr>
        <w:t>四分音符</w:t>
      </w:r>
      <w:r>
        <w:rPr>
          <w:rFonts w:asciiTheme="minorEastAsia" w:eastAsiaTheme="minorEastAsia" w:hAnsiTheme="minorEastAsia" w:hint="eastAsia"/>
          <w:color w:val="444444"/>
        </w:rPr>
        <w:t>、八分音符、十六分音符再到跳进的四分音符与休止构成了第一段旋律。这段如歌的旋律主要表现出一种平静、祥和的气氛。</w:t>
      </w:r>
    </w:p>
    <w:p w:rsidR="00A55729" w:rsidRDefault="00D15FDE" w:rsidP="009376E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Theme="minorEastAsia" w:eastAsiaTheme="minorEastAsia" w:hAnsiTheme="minorEastAsia" w:cs="Songti SC Regular"/>
        </w:rPr>
      </w:pPr>
      <w:r>
        <w:rPr>
          <w:rFonts w:asciiTheme="minorEastAsia" w:eastAsiaTheme="minorEastAsia" w:hAnsiTheme="minorEastAsia" w:hint="eastAsia"/>
          <w:color w:val="444444"/>
        </w:rPr>
        <w:t>下一段是为人们所熟知的一条旋律，速度变快，整个曲调充满着甜蜜、幻想的情绪。旋律极富演奏性，主要以三十二分音符与十六分音符的组合，级进过程中穿插大跳而构成。（见谱例）</w:t>
      </w:r>
    </w:p>
    <w:p w:rsidR="003023A9" w:rsidRDefault="00D15FDE">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宋体" w:eastAsia="宋体" w:hAnsi="宋体" w:cs="宋体" w:hint="eastAsia"/>
          <w:color w:val="auto"/>
        </w:rPr>
      </w:pPr>
      <w:r>
        <w:rPr>
          <w:rFonts w:ascii="Times Roman" w:eastAsia="Times Roman" w:hAnsi="Times Roman" w:cs="Times Roman"/>
          <w:noProof/>
          <w:lang w:val="en-US"/>
        </w:rPr>
        <w:drawing>
          <wp:inline distT="0" distB="0" distL="0" distR="0">
            <wp:extent cx="5269865" cy="705485"/>
            <wp:effectExtent l="0" t="0" r="6985" b="18415"/>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9"/>
                    <a:stretch>
                      <a:fillRect/>
                    </a:stretch>
                  </pic:blipFill>
                  <pic:spPr>
                    <a:xfrm>
                      <a:off x="0" y="0"/>
                      <a:ext cx="5270373" cy="705612"/>
                    </a:xfrm>
                    <a:prstGeom prst="rect">
                      <a:avLst/>
                    </a:prstGeom>
                    <a:ln w="12700" cap="flat">
                      <a:noFill/>
                      <a:miter lim="400000"/>
                      <a:headEnd/>
                      <a:tailEnd/>
                    </a:ln>
                    <a:effectLst/>
                  </pic:spPr>
                </pic:pic>
              </a:graphicData>
            </a:graphic>
          </wp:inline>
        </w:drawing>
      </w:r>
    </w:p>
    <w:p w:rsidR="00A55729" w:rsidRPr="003023A9" w:rsidRDefault="00D15FDE" w:rsidP="003023A9">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宋体" w:eastAsia="宋体" w:hAnsi="宋体" w:cs="宋体" w:hint="eastAsia"/>
          <w:color w:val="auto"/>
        </w:rPr>
      </w:pPr>
      <w:r>
        <w:rPr>
          <w:rFonts w:ascii="宋体" w:eastAsia="宋体" w:hAnsi="宋体" w:cs="宋体" w:hint="eastAsia"/>
          <w:color w:val="auto"/>
        </w:rPr>
        <w:t>第三段旋律实际是对第一段旋律的再现所发展出来的，旋律依然以第一段的旋律为主体。这样看来本曲近似于带再现的三部曲式结构，但在调式与和声上</w:t>
      </w:r>
      <w:r>
        <w:rPr>
          <w:rFonts w:ascii="宋体" w:eastAsia="宋体" w:hAnsi="宋体" w:cs="宋体" w:hint="eastAsia"/>
          <w:color w:val="auto"/>
        </w:rPr>
        <w:t xml:space="preserve"> </w:t>
      </w:r>
      <w:r>
        <w:rPr>
          <w:rFonts w:ascii="宋体" w:eastAsia="宋体" w:hAnsi="宋体" w:cs="宋体" w:hint="eastAsia"/>
          <w:color w:val="auto"/>
        </w:rPr>
        <w:t>未出现转调与和声的变换，和声依然是如上文所说每两小节的循环。这是作曲家极为巧妙地设计，本曲中上方旋律以不断变化的发展手法配合通奏低音部分严格的和声进行，虽然旋律回旋往复，但并未给人以单调的感觉，反而使得更加</w:t>
      </w:r>
      <w:r>
        <w:rPr>
          <w:rFonts w:ascii="宋体" w:eastAsia="宋体" w:hAnsi="宋体" w:cs="宋体" w:hint="eastAsia"/>
          <w:color w:val="auto"/>
        </w:rPr>
        <w:t>让人赏心悦目。</w:t>
      </w:r>
      <w:bookmarkStart w:id="0" w:name="_GoBack"/>
      <w:bookmarkEnd w:id="0"/>
    </w:p>
    <w:p w:rsidR="00A55729" w:rsidRPr="003023A9" w:rsidRDefault="003023A9" w:rsidP="003023A9">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2"/>
        <w:rPr>
          <w:rFonts w:asciiTheme="minorEastAsia" w:eastAsiaTheme="minorEastAsia" w:hAnsiTheme="minorEastAsia" w:cs="Times Roman"/>
          <w:b/>
        </w:rPr>
      </w:pPr>
      <w:r w:rsidRPr="003023A9">
        <w:rPr>
          <w:rFonts w:asciiTheme="minorEastAsia" w:eastAsiaTheme="minorEastAsia" w:hAnsiTheme="minorEastAsia" w:hint="eastAsia"/>
          <w:b/>
        </w:rPr>
        <w:t>二、</w:t>
      </w:r>
      <w:r w:rsidR="00D15FDE" w:rsidRPr="003023A9">
        <w:rPr>
          <w:rFonts w:asciiTheme="minorEastAsia" w:eastAsiaTheme="minorEastAsia" w:hAnsiTheme="minorEastAsia" w:hint="eastAsia"/>
          <w:b/>
        </w:rPr>
        <w:t>巴赫与《</w:t>
      </w:r>
      <w:r w:rsidR="00D15FDE" w:rsidRPr="003023A9">
        <w:rPr>
          <w:rFonts w:asciiTheme="minorEastAsia" w:eastAsiaTheme="minorEastAsia" w:hAnsiTheme="minorEastAsia"/>
          <w:b/>
        </w:rPr>
        <w:t>d</w:t>
      </w:r>
      <w:r w:rsidR="00D15FDE" w:rsidRPr="003023A9">
        <w:rPr>
          <w:rFonts w:asciiTheme="minorEastAsia" w:eastAsiaTheme="minorEastAsia" w:hAnsiTheme="minorEastAsia" w:hint="eastAsia"/>
          <w:b/>
        </w:rPr>
        <w:t>小调托卡塔与赋格》</w:t>
      </w:r>
    </w:p>
    <w:p w:rsidR="00A55729" w:rsidRPr="003023A9" w:rsidRDefault="00D15FDE">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rPr>
          <w:rFonts w:asciiTheme="minorEastAsia" w:eastAsiaTheme="minorEastAsia" w:hAnsiTheme="minorEastAsia" w:cs="Times Roman"/>
          <w:b/>
        </w:rPr>
      </w:pPr>
      <w:r>
        <w:rPr>
          <w:rFonts w:asciiTheme="minorEastAsia" w:eastAsiaTheme="minorEastAsia" w:hAnsiTheme="minorEastAsia"/>
        </w:rPr>
        <w:t xml:space="preserve">   </w:t>
      </w:r>
      <w:r w:rsidR="003023A9" w:rsidRPr="003023A9">
        <w:rPr>
          <w:rFonts w:asciiTheme="minorEastAsia" w:eastAsiaTheme="minorEastAsia" w:hAnsiTheme="minorEastAsia" w:hint="eastAsia"/>
          <w:b/>
        </w:rPr>
        <w:t>（一）</w:t>
      </w:r>
      <w:r w:rsidRPr="003023A9">
        <w:rPr>
          <w:rFonts w:asciiTheme="minorEastAsia" w:eastAsiaTheme="minorEastAsia" w:hAnsiTheme="minorEastAsia" w:hint="eastAsia"/>
          <w:b/>
        </w:rPr>
        <w:t>巴赫简介</w:t>
      </w:r>
    </w:p>
    <w:p w:rsidR="00A55729" w:rsidRDefault="00D15FDE" w:rsidP="003122A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Theme="minorEastAsia" w:eastAsiaTheme="minorEastAsia" w:hAnsiTheme="minorEastAsia" w:cs="Times Roman"/>
        </w:rPr>
      </w:pPr>
      <w:r>
        <w:rPr>
          <w:rFonts w:asciiTheme="minorEastAsia" w:eastAsiaTheme="minorEastAsia" w:hAnsiTheme="minorEastAsia" w:hint="eastAsia"/>
        </w:rPr>
        <w:t>巴赫，全名为：约翰</w:t>
      </w:r>
      <w:r>
        <w:rPr>
          <w:rFonts w:asciiTheme="minorEastAsia" w:eastAsiaTheme="minorEastAsia" w:hAnsiTheme="minorEastAsia"/>
          <w:lang w:val="de-DE"/>
        </w:rPr>
        <w:t>·</w:t>
      </w:r>
      <w:r>
        <w:rPr>
          <w:rFonts w:asciiTheme="minorEastAsia" w:eastAsiaTheme="minorEastAsia" w:hAnsiTheme="minorEastAsia" w:hint="eastAsia"/>
        </w:rPr>
        <w:t>塞巴斯蒂安</w:t>
      </w:r>
      <w:r>
        <w:rPr>
          <w:rFonts w:asciiTheme="minorEastAsia" w:eastAsiaTheme="minorEastAsia" w:hAnsiTheme="minorEastAsia"/>
          <w:lang w:val="de-DE"/>
        </w:rPr>
        <w:t>·</w:t>
      </w:r>
      <w:r>
        <w:rPr>
          <w:rFonts w:asciiTheme="minorEastAsia" w:eastAsiaTheme="minorEastAsia" w:hAnsiTheme="minorEastAsia" w:hint="eastAsia"/>
        </w:rPr>
        <w:t>巴赫</w:t>
      </w:r>
      <w:r>
        <w:rPr>
          <w:rFonts w:asciiTheme="minorEastAsia" w:eastAsiaTheme="minorEastAsia" w:hAnsiTheme="minorEastAsia"/>
          <w:lang w:val="de-DE"/>
        </w:rPr>
        <w:t>(Johann Sebastian Bach)</w:t>
      </w:r>
      <w:r>
        <w:rPr>
          <w:rFonts w:asciiTheme="minorEastAsia" w:eastAsiaTheme="minorEastAsia" w:hAnsiTheme="minorEastAsia" w:hint="eastAsia"/>
        </w:rPr>
        <w:t>，于</w:t>
      </w:r>
      <w:r>
        <w:rPr>
          <w:rFonts w:asciiTheme="minorEastAsia" w:eastAsiaTheme="minorEastAsia" w:hAnsiTheme="minorEastAsia"/>
        </w:rPr>
        <w:t>1685</w:t>
      </w:r>
      <w:r>
        <w:rPr>
          <w:rFonts w:asciiTheme="minorEastAsia" w:eastAsiaTheme="minorEastAsia" w:hAnsiTheme="minorEastAsia" w:hint="eastAsia"/>
        </w:rPr>
        <w:t>年出生在德国爱森纳赫一个音乐家庭之中，逝世于</w:t>
      </w:r>
      <w:r>
        <w:rPr>
          <w:rFonts w:asciiTheme="minorEastAsia" w:eastAsiaTheme="minorEastAsia" w:hAnsiTheme="minorEastAsia"/>
        </w:rPr>
        <w:t>1750</w:t>
      </w:r>
      <w:r>
        <w:rPr>
          <w:rFonts w:asciiTheme="minorEastAsia" w:eastAsiaTheme="minorEastAsia" w:hAnsiTheme="minorEastAsia" w:hint="eastAsia"/>
        </w:rPr>
        <w:t>年，他的家族早在他出世之前许多年就已经在音乐界享有盛名。巴赫是一位多产的作曲家，一生创作有将近</w:t>
      </w:r>
      <w:r>
        <w:rPr>
          <w:rFonts w:asciiTheme="minorEastAsia" w:eastAsiaTheme="minorEastAsia" w:hAnsiTheme="minorEastAsia"/>
        </w:rPr>
        <w:t>300</w:t>
      </w:r>
      <w:r>
        <w:rPr>
          <w:rFonts w:asciiTheme="minorEastAsia" w:eastAsiaTheme="minorEastAsia" w:hAnsiTheme="minorEastAsia" w:hint="eastAsia"/>
        </w:rPr>
        <w:t>首的大合唱曲，由</w:t>
      </w:r>
      <w:r>
        <w:rPr>
          <w:rFonts w:asciiTheme="minorEastAsia" w:eastAsiaTheme="minorEastAsia" w:hAnsiTheme="minorEastAsia"/>
        </w:rPr>
        <w:t>48</w:t>
      </w:r>
      <w:r>
        <w:rPr>
          <w:rFonts w:asciiTheme="minorEastAsia" w:eastAsiaTheme="minorEastAsia" w:hAnsiTheme="minorEastAsia" w:hint="eastAsia"/>
        </w:rPr>
        <w:t>首前奏曲和赋格组成的《平均律钢琴曲集》；</w:t>
      </w:r>
      <w:r>
        <w:rPr>
          <w:rFonts w:asciiTheme="minorEastAsia" w:eastAsiaTheme="minorEastAsia" w:hAnsiTheme="minorEastAsia"/>
        </w:rPr>
        <w:t>100</w:t>
      </w:r>
      <w:r>
        <w:rPr>
          <w:rFonts w:asciiTheme="minorEastAsia" w:eastAsiaTheme="minorEastAsia" w:hAnsiTheme="minorEastAsia" w:hint="eastAsia"/>
        </w:rPr>
        <w:t>多首大键琴乐曲；</w:t>
      </w:r>
      <w:r>
        <w:rPr>
          <w:rFonts w:asciiTheme="minorEastAsia" w:eastAsiaTheme="minorEastAsia" w:hAnsiTheme="minorEastAsia"/>
        </w:rPr>
        <w:t>23</w:t>
      </w:r>
      <w:r>
        <w:rPr>
          <w:rFonts w:asciiTheme="minorEastAsia" w:eastAsiaTheme="minorEastAsia" w:hAnsiTheme="minorEastAsia" w:hint="eastAsia"/>
        </w:rPr>
        <w:t>首小协奏曲；</w:t>
      </w:r>
      <w:r>
        <w:rPr>
          <w:rFonts w:asciiTheme="minorEastAsia" w:eastAsiaTheme="minorEastAsia" w:hAnsiTheme="minorEastAsia"/>
        </w:rPr>
        <w:t>4</w:t>
      </w:r>
      <w:r>
        <w:rPr>
          <w:rFonts w:asciiTheme="minorEastAsia" w:eastAsiaTheme="minorEastAsia" w:hAnsiTheme="minorEastAsia" w:hint="eastAsia"/>
          <w:lang w:val="ja-JP" w:eastAsia="ja-JP"/>
        </w:rPr>
        <w:t>首序曲</w:t>
      </w:r>
      <w:r>
        <w:rPr>
          <w:rFonts w:asciiTheme="minorEastAsia" w:eastAsiaTheme="minorEastAsia" w:hAnsiTheme="minorEastAsia" w:hint="eastAsia"/>
        </w:rPr>
        <w:t>；</w:t>
      </w:r>
      <w:r>
        <w:rPr>
          <w:rFonts w:asciiTheme="minorEastAsia" w:eastAsiaTheme="minorEastAsia" w:hAnsiTheme="minorEastAsia"/>
        </w:rPr>
        <w:t>33</w:t>
      </w:r>
      <w:r>
        <w:rPr>
          <w:rFonts w:asciiTheme="minorEastAsia" w:eastAsiaTheme="minorEastAsia" w:hAnsiTheme="minorEastAsia" w:hint="eastAsia"/>
        </w:rPr>
        <w:t>首奏鸣曲；</w:t>
      </w:r>
      <w:r>
        <w:rPr>
          <w:rFonts w:asciiTheme="minorEastAsia" w:eastAsiaTheme="minorEastAsia" w:hAnsiTheme="minorEastAsia"/>
        </w:rPr>
        <w:t>5</w:t>
      </w:r>
      <w:r>
        <w:rPr>
          <w:rFonts w:asciiTheme="minorEastAsia" w:eastAsiaTheme="minorEastAsia" w:hAnsiTheme="minorEastAsia" w:hint="eastAsia"/>
          <w:lang w:val="ja-JP" w:eastAsia="ja-JP"/>
        </w:rPr>
        <w:t>首弥撒曲</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首圣乐曲及许多其它乐曲，总计起来，巴赫谱写出</w:t>
      </w:r>
      <w:r>
        <w:rPr>
          <w:rFonts w:asciiTheme="minorEastAsia" w:eastAsiaTheme="minorEastAsia" w:hAnsiTheme="minorEastAsia"/>
        </w:rPr>
        <w:t>800</w:t>
      </w:r>
      <w:r>
        <w:rPr>
          <w:rFonts w:asciiTheme="minorEastAsia" w:eastAsiaTheme="minorEastAsia" w:hAnsiTheme="minorEastAsia" w:hint="eastAsia"/>
        </w:rPr>
        <w:t>多首严肃乐曲。他一生主要的贡献表现在：使依附于宗教的音乐平民化；把复调音乐推向了极大的高度；确立了键盘乐器十二平均律原则；奠定了除声乐作品外现代西方音乐中几乎所有体裁的体例基础，他被后世尊称为</w:t>
      </w:r>
      <w:r>
        <w:rPr>
          <w:rFonts w:asciiTheme="minorEastAsia" w:eastAsiaTheme="minorEastAsia" w:hAnsiTheme="minorEastAsia"/>
          <w:rtl/>
          <w:lang w:val="ar-SA"/>
        </w:rPr>
        <w:t>“</w:t>
      </w:r>
      <w:r>
        <w:rPr>
          <w:rFonts w:asciiTheme="minorEastAsia" w:eastAsiaTheme="minorEastAsia" w:hAnsiTheme="minorEastAsia" w:hint="eastAsia"/>
        </w:rPr>
        <w:t>西方音乐之父</w:t>
      </w:r>
      <w:r>
        <w:rPr>
          <w:rFonts w:asciiTheme="minorEastAsia" w:eastAsiaTheme="minorEastAsia" w:hAnsiTheme="minorEastAsia"/>
        </w:rPr>
        <w:t>”</w:t>
      </w:r>
      <w:r>
        <w:rPr>
          <w:rFonts w:asciiTheme="minorEastAsia" w:eastAsiaTheme="minorEastAsia" w:hAnsiTheme="minorEastAsia" w:hint="eastAsia"/>
        </w:rPr>
        <w:t>。</w:t>
      </w:r>
    </w:p>
    <w:p w:rsidR="00A55729" w:rsidRPr="003023A9" w:rsidRDefault="00D15FDE">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rPr>
          <w:rFonts w:asciiTheme="minorEastAsia" w:eastAsiaTheme="minorEastAsia" w:hAnsiTheme="minorEastAsia" w:cs="Times Roman"/>
          <w:b/>
        </w:rPr>
      </w:pPr>
      <w:r>
        <w:rPr>
          <w:rFonts w:asciiTheme="minorEastAsia" w:eastAsiaTheme="minorEastAsia" w:hAnsiTheme="minorEastAsia"/>
        </w:rPr>
        <w:t xml:space="preserve">  </w:t>
      </w:r>
      <w:r w:rsidRPr="003023A9">
        <w:rPr>
          <w:rFonts w:asciiTheme="minorEastAsia" w:eastAsiaTheme="minorEastAsia" w:hAnsiTheme="minorEastAsia"/>
          <w:b/>
        </w:rPr>
        <w:t xml:space="preserve"> </w:t>
      </w:r>
      <w:r w:rsidR="003023A9" w:rsidRPr="003023A9">
        <w:rPr>
          <w:rFonts w:asciiTheme="minorEastAsia" w:eastAsiaTheme="minorEastAsia" w:hAnsiTheme="minorEastAsia" w:hint="eastAsia"/>
          <w:b/>
        </w:rPr>
        <w:t>（二）</w:t>
      </w:r>
      <w:r w:rsidRPr="003023A9">
        <w:rPr>
          <w:rFonts w:asciiTheme="minorEastAsia" w:eastAsiaTheme="minorEastAsia" w:hAnsiTheme="minorEastAsia" w:hint="eastAsia"/>
          <w:b/>
        </w:rPr>
        <w:t>《</w:t>
      </w:r>
      <w:r w:rsidRPr="003023A9">
        <w:rPr>
          <w:rFonts w:asciiTheme="minorEastAsia" w:eastAsiaTheme="minorEastAsia" w:hAnsiTheme="minorEastAsia"/>
          <w:b/>
        </w:rPr>
        <w:t xml:space="preserve">d </w:t>
      </w:r>
      <w:r w:rsidRPr="003023A9">
        <w:rPr>
          <w:rFonts w:asciiTheme="minorEastAsia" w:eastAsiaTheme="minorEastAsia" w:hAnsiTheme="minorEastAsia" w:hint="eastAsia"/>
          <w:b/>
        </w:rPr>
        <w:t>小调托卡塔与赋格》介绍</w:t>
      </w:r>
    </w:p>
    <w:p w:rsidR="00A55729" w:rsidRDefault="00D15FDE" w:rsidP="003023A9">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Theme="minorEastAsia" w:eastAsiaTheme="minorEastAsia" w:hAnsiTheme="minorEastAsia" w:cs="Times Roman"/>
        </w:rPr>
      </w:pPr>
      <w:r>
        <w:rPr>
          <w:rFonts w:asciiTheme="minorEastAsia" w:eastAsiaTheme="minorEastAsia" w:hAnsiTheme="minorEastAsia" w:hint="eastAsia"/>
        </w:rPr>
        <w:t>该作品原为管风琴曲，是巴赫青年时代的代表作之一，于</w:t>
      </w:r>
      <w:r>
        <w:rPr>
          <w:rFonts w:asciiTheme="minorEastAsia" w:eastAsiaTheme="minorEastAsia" w:hAnsiTheme="minorEastAsia"/>
        </w:rPr>
        <w:t>1704</w:t>
      </w:r>
      <w:r>
        <w:rPr>
          <w:rFonts w:asciiTheme="minorEastAsia" w:eastAsiaTheme="minorEastAsia" w:hAnsiTheme="minorEastAsia" w:hint="eastAsia"/>
        </w:rPr>
        <w:t>年</w:t>
      </w:r>
      <w:r>
        <w:rPr>
          <w:rFonts w:asciiTheme="minorEastAsia" w:eastAsiaTheme="minorEastAsia" w:hAnsiTheme="minorEastAsia"/>
        </w:rPr>
        <w:t>——1707</w:t>
      </w:r>
      <w:r>
        <w:rPr>
          <w:rFonts w:asciiTheme="minorEastAsia" w:eastAsiaTheme="minorEastAsia" w:hAnsiTheme="minorEastAsia" w:hint="eastAsia"/>
        </w:rPr>
        <w:t>年间专为阿恩士塔德的新管风琴创作的，由于当时的管风琴体积庞大，构造复</w:t>
      </w:r>
      <w:r>
        <w:rPr>
          <w:rFonts w:asciiTheme="minorEastAsia" w:eastAsiaTheme="minorEastAsia" w:hAnsiTheme="minorEastAsia" w:hint="eastAsia"/>
        </w:rPr>
        <w:lastRenderedPageBreak/>
        <w:t>杂，无法搬上音乐会舞台，因此这部作品也就没有机会向广大听众介绍，后由波兰作曲家斯托科夫斯基改编为管弦乐曲，用丰富的器乐</w:t>
      </w:r>
      <w:r>
        <w:rPr>
          <w:rFonts w:asciiTheme="minorEastAsia" w:eastAsiaTheme="minorEastAsia" w:hAnsiTheme="minorEastAsia" w:hint="eastAsia"/>
        </w:rPr>
        <w:t>色彩在音乐会舞台上重现了它的雄伟气魄和深刻的意境。又由波兰钢琴家、作曲家陶西格改编为钢琴曲，加维安尼改编为手风琴曲。该乐曲由托卡塔曲和赋格曲组成，整个音乐形象十分统一，都是以同一个乐思作为基础的。托卡塔就是指一种节奏紧凑，短促而又快速触键并富于技巧性的键盘器乐曲，它又称</w:t>
      </w:r>
      <w:r>
        <w:rPr>
          <w:rFonts w:asciiTheme="minorEastAsia" w:eastAsiaTheme="minorEastAsia" w:hAnsiTheme="minorEastAsia"/>
        </w:rPr>
        <w:t>“</w:t>
      </w:r>
      <w:r>
        <w:rPr>
          <w:rFonts w:asciiTheme="minorEastAsia" w:eastAsiaTheme="minorEastAsia" w:hAnsiTheme="minorEastAsia" w:hint="eastAsia"/>
          <w:lang w:val="ja-JP" w:eastAsia="ja-JP"/>
        </w:rPr>
        <w:t>触技曲</w:t>
      </w:r>
      <w:r>
        <w:rPr>
          <w:rFonts w:asciiTheme="minorEastAsia" w:eastAsiaTheme="minorEastAsia" w:hAnsiTheme="minorEastAsia"/>
        </w:rPr>
        <w:t>”</w:t>
      </w:r>
      <w:r>
        <w:rPr>
          <w:rFonts w:asciiTheme="minorEastAsia" w:eastAsiaTheme="minorEastAsia" w:hAnsiTheme="minorEastAsia" w:hint="eastAsia"/>
        </w:rPr>
        <w:t>，是一种富有即兴性的乐曲，始于十六世纪的意大利。赋格是以模仿为基础，是音乐主题陈述与发展有着固定程式的复调曲体，其特点是同一乐思在一定的调性逻辑中反复出现。</w:t>
      </w:r>
    </w:p>
    <w:p w:rsidR="00A55729" w:rsidRPr="003023A9" w:rsidRDefault="003023A9" w:rsidP="003023A9">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rPr>
          <w:rFonts w:asciiTheme="minorEastAsia" w:eastAsiaTheme="minorEastAsia" w:hAnsiTheme="minorEastAsia" w:cs="Times Roman"/>
          <w:b/>
        </w:rPr>
      </w:pPr>
      <w:r>
        <w:rPr>
          <w:rFonts w:asciiTheme="minorEastAsia" w:eastAsiaTheme="minorEastAsia" w:hAnsiTheme="minorEastAsia"/>
        </w:rPr>
        <w:t xml:space="preserve">     </w:t>
      </w:r>
      <w:r w:rsidRPr="003023A9">
        <w:rPr>
          <w:rFonts w:asciiTheme="minorEastAsia" w:eastAsiaTheme="minorEastAsia" w:hAnsiTheme="minorEastAsia" w:hint="eastAsia"/>
          <w:b/>
        </w:rPr>
        <w:t>（三）</w:t>
      </w:r>
      <w:r w:rsidR="00D15FDE" w:rsidRPr="003023A9">
        <w:rPr>
          <w:rFonts w:asciiTheme="minorEastAsia" w:eastAsiaTheme="minorEastAsia" w:hAnsiTheme="minorEastAsia" w:hint="eastAsia"/>
          <w:b/>
        </w:rPr>
        <w:t>《</w:t>
      </w:r>
      <w:r w:rsidR="00D15FDE" w:rsidRPr="003023A9">
        <w:rPr>
          <w:rFonts w:asciiTheme="minorEastAsia" w:eastAsiaTheme="minorEastAsia" w:hAnsiTheme="minorEastAsia"/>
          <w:b/>
        </w:rPr>
        <w:t xml:space="preserve">d </w:t>
      </w:r>
      <w:r w:rsidR="00D15FDE" w:rsidRPr="003023A9">
        <w:rPr>
          <w:rFonts w:asciiTheme="minorEastAsia" w:eastAsiaTheme="minorEastAsia" w:hAnsiTheme="minorEastAsia" w:hint="eastAsia"/>
          <w:b/>
        </w:rPr>
        <w:t>小调托卡塔与赋格》的结构分析</w:t>
      </w:r>
    </w:p>
    <w:p w:rsidR="00A55729" w:rsidRDefault="00D15FDE" w:rsidP="003122A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Theme="minorEastAsia" w:eastAsiaTheme="minorEastAsia" w:hAnsiTheme="minorEastAsia" w:hint="eastAsia"/>
        </w:rPr>
      </w:pPr>
      <w:r w:rsidRPr="003122A2">
        <w:rPr>
          <w:rFonts w:asciiTheme="minorEastAsia" w:eastAsiaTheme="minorEastAsia" w:hAnsiTheme="minorEastAsia" w:hint="eastAsia"/>
        </w:rPr>
        <w:t>从结构上看，该作品具有三部性的结构特点，如下图所示</w:t>
      </w:r>
      <w:r w:rsidR="003122A2" w:rsidRPr="003122A2">
        <w:rPr>
          <w:rFonts w:asciiTheme="minorEastAsia" w:eastAsiaTheme="minorEastAsia" w:hAnsiTheme="minorEastAsia" w:hint="eastAsia"/>
        </w:rPr>
        <w:t>：</w:t>
      </w:r>
    </w:p>
    <w:p w:rsidR="003023A9" w:rsidRDefault="003023A9" w:rsidP="003122A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Theme="minorEastAsia" w:eastAsiaTheme="minorEastAsia" w:hAnsiTheme="minorEastAsia" w:hint="eastAsia"/>
        </w:rPr>
      </w:pPr>
      <w:r>
        <w:rPr>
          <w:rFonts w:asciiTheme="minorEastAsia" w:eastAsiaTheme="minorEastAsia" w:hAnsiTheme="minorEastAsia"/>
          <w:noProof/>
          <w:lang w:val="en-US"/>
        </w:rPr>
        <w:drawing>
          <wp:inline distT="0" distB="0" distL="0" distR="0">
            <wp:extent cx="3969292" cy="7715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981069" cy="773814"/>
                    </a:xfrm>
                    <a:prstGeom prst="rect">
                      <a:avLst/>
                    </a:prstGeom>
                    <a:noFill/>
                    <a:ln w="9525">
                      <a:noFill/>
                      <a:miter lim="800000"/>
                      <a:headEnd/>
                      <a:tailEnd/>
                    </a:ln>
                  </pic:spPr>
                </pic:pic>
              </a:graphicData>
            </a:graphic>
          </wp:inline>
        </w:drawing>
      </w:r>
    </w:p>
    <w:p w:rsidR="003023A9" w:rsidRDefault="003023A9" w:rsidP="003023A9">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Theme="minorEastAsia" w:eastAsiaTheme="minorEastAsia" w:hAnsiTheme="minorEastAsia" w:hint="eastAsia"/>
        </w:rPr>
      </w:pPr>
      <w:r>
        <w:rPr>
          <w:rFonts w:asciiTheme="minorEastAsia" w:eastAsiaTheme="minorEastAsia" w:hAnsiTheme="minorEastAsia" w:hint="eastAsia"/>
        </w:rPr>
        <w:t>第一部分为托卡塔，中段为一首完整的赋格曲，第三部分又是自由即兴的托卡塔，由于第三部分的托卡塔在材料和织体上与第一部分托卡塔是不一样的，所以这三个部分属于并列关系。但该作品在整体音乐风格上又是非常协调统一的，赋格之后的托卡塔曲虽然在材料和织体上与第一部分托卡塔不一样但是就音乐风格和乐思而言却是一样的，因此从音乐风格的角度上看，该作品又可以视为带再现的三部性结构</w:t>
      </w:r>
      <w:r>
        <w:rPr>
          <w:rFonts w:asciiTheme="minorEastAsia" w:eastAsiaTheme="minorEastAsia" w:hAnsiTheme="minorEastAsia"/>
          <w:lang w:val="en-US"/>
        </w:rPr>
        <w:t>——</w:t>
      </w:r>
      <w:r>
        <w:rPr>
          <w:rFonts w:asciiTheme="minorEastAsia" w:eastAsiaTheme="minorEastAsia" w:hAnsiTheme="minorEastAsia" w:hint="eastAsia"/>
        </w:rPr>
        <w:t>风格再现。这样赋格曲前后的托卡塔部分实则是材料各异，但风格却相同。因此从材料和风格上分析该作品所得出的这两种结论并不是矛盾的，这也是该作品的特点之一。以此为依据，赋格曲前面的托卡塔部分也具有三部性结构特点，除三小节的引子外，根据材料也可以判断为并列的三个部分，根据风格同样可以视为带再现的三个部分，中间部分有一定对比。全曲中段是一首完整的赋格曲，有呈示部、副呈示部、中间部、再现部及尾声。</w:t>
      </w:r>
    </w:p>
    <w:p w:rsidR="003023A9" w:rsidRPr="003023A9" w:rsidRDefault="003023A9" w:rsidP="003023A9">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Theme="minorEastAsia" w:eastAsiaTheme="minorEastAsia" w:hAnsiTheme="minorEastAsia" w:cs="Times Roman" w:hint="eastAsia"/>
        </w:rPr>
      </w:pPr>
      <w:r>
        <w:rPr>
          <w:rFonts w:asciiTheme="minorEastAsia" w:eastAsiaTheme="minorEastAsia" w:hAnsiTheme="minorEastAsia" w:cs="Times Roman"/>
          <w:noProof/>
          <w:lang w:val="en-US"/>
        </w:rPr>
        <w:drawing>
          <wp:inline distT="0" distB="0" distL="0" distR="0">
            <wp:extent cx="4343400" cy="919238"/>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354286" cy="921542"/>
                    </a:xfrm>
                    <a:prstGeom prst="rect">
                      <a:avLst/>
                    </a:prstGeom>
                    <a:noFill/>
                    <a:ln w="9525">
                      <a:noFill/>
                      <a:miter lim="800000"/>
                      <a:headEnd/>
                      <a:tailEnd/>
                    </a:ln>
                  </pic:spPr>
                </pic:pic>
              </a:graphicData>
            </a:graphic>
          </wp:inline>
        </w:drawing>
      </w:r>
    </w:p>
    <w:p w:rsidR="003023A9" w:rsidRDefault="003023A9" w:rsidP="003023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480"/>
        <w:jc w:val="left"/>
        <w:rPr>
          <w:rFonts w:ascii="楷体" w:eastAsia="楷体" w:hAnsi="楷体" w:cs="楷体" w:hint="default"/>
          <w:kern w:val="0"/>
          <w:sz w:val="24"/>
          <w:szCs w:val="24"/>
          <w:lang w:val="zh-TW" w:eastAsia="zh-TW"/>
        </w:rPr>
      </w:pPr>
      <w:r>
        <w:rPr>
          <w:rFonts w:ascii="楷体" w:eastAsia="楷体" w:hAnsi="楷体" w:cs="楷体"/>
          <w:kern w:val="0"/>
          <w:sz w:val="24"/>
          <w:szCs w:val="24"/>
          <w:lang w:val="zh-TW" w:eastAsia="zh-TW"/>
        </w:rPr>
        <w:lastRenderedPageBreak/>
        <w:t>【资料来源】</w:t>
      </w:r>
    </w:p>
    <w:p w:rsidR="003023A9" w:rsidRDefault="003023A9" w:rsidP="003023A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420"/>
        <w:jc w:val="left"/>
        <w:rPr>
          <w:rFonts w:ascii="楷体" w:eastAsia="楷体" w:hAnsi="楷体" w:cs="楷体" w:hint="default"/>
          <w:lang w:val="zh-TW" w:eastAsia="zh-TW"/>
        </w:rPr>
      </w:pPr>
      <w:r>
        <w:rPr>
          <w:rFonts w:ascii="楷体" w:eastAsia="楷体" w:hAnsi="楷体" w:cs="楷体"/>
          <w:lang w:val="zh-TW" w:eastAsia="zh-TW"/>
        </w:rPr>
        <w:t>书名：《</w:t>
      </w:r>
      <w:r>
        <w:rPr>
          <w:rFonts w:ascii="楷体" w:eastAsia="楷体" w:hAnsi="楷体" w:cs="楷体"/>
          <w:lang w:val="zh-CN"/>
        </w:rPr>
        <w:t>义务教育教科书</w:t>
      </w:r>
      <w:r>
        <w:rPr>
          <w:rFonts w:ascii="楷体" w:eastAsia="楷体" w:hAnsi="楷体" w:cs="楷体" w:hint="default"/>
          <w:lang w:val="zh-CN"/>
        </w:rPr>
        <w:t>·</w:t>
      </w:r>
      <w:r>
        <w:rPr>
          <w:rFonts w:ascii="楷体" w:eastAsia="楷体" w:hAnsi="楷体" w:cs="楷体"/>
          <w:lang w:val="zh-CN"/>
        </w:rPr>
        <w:t>音乐 教师用书</w:t>
      </w:r>
      <w:r>
        <w:rPr>
          <w:rFonts w:ascii="楷体" w:eastAsia="楷体" w:hAnsi="楷体" w:cs="楷体"/>
          <w:lang w:val="zh-TW" w:eastAsia="zh-TW"/>
        </w:rPr>
        <w:t>》</w:t>
      </w:r>
    </w:p>
    <w:p w:rsidR="003023A9" w:rsidRDefault="003023A9" w:rsidP="003023A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420"/>
        <w:jc w:val="left"/>
        <w:rPr>
          <w:rFonts w:ascii="楷体" w:eastAsia="楷体" w:hAnsi="楷体" w:cs="楷体" w:hint="default"/>
          <w:lang w:val="zh-TW" w:eastAsia="zh-TW"/>
        </w:rPr>
      </w:pPr>
      <w:r>
        <w:rPr>
          <w:rFonts w:ascii="楷体" w:eastAsia="楷体" w:hAnsi="楷体" w:cs="楷体"/>
          <w:lang w:val="zh-TW" w:eastAsia="zh-TW"/>
        </w:rPr>
        <w:t>作者：</w:t>
      </w:r>
      <w:r>
        <w:rPr>
          <w:rFonts w:ascii="楷体" w:eastAsia="楷体" w:hAnsi="楷体" w:cs="楷体"/>
          <w:lang w:val="zh-CN"/>
        </w:rPr>
        <w:t>吴斌主编 北京教育科学研究院编</w:t>
      </w:r>
    </w:p>
    <w:p w:rsidR="003023A9" w:rsidRDefault="003023A9" w:rsidP="003023A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420"/>
        <w:jc w:val="left"/>
        <w:rPr>
          <w:rFonts w:ascii="楷体" w:eastAsia="楷体" w:hAnsi="楷体" w:cs="楷体" w:hint="default"/>
          <w:lang w:val="zh-TW" w:eastAsia="zh-TW"/>
        </w:rPr>
      </w:pPr>
      <w:r>
        <w:rPr>
          <w:rFonts w:ascii="楷体" w:eastAsia="楷体" w:hAnsi="楷体" w:cs="楷体"/>
          <w:lang w:val="zh-TW" w:eastAsia="zh-TW"/>
        </w:rPr>
        <w:t>出版社：</w:t>
      </w:r>
      <w:r>
        <w:rPr>
          <w:rFonts w:ascii="楷体" w:eastAsia="楷体" w:hAnsi="楷体" w:cs="楷体"/>
          <w:lang w:val="zh-CN"/>
        </w:rPr>
        <w:t>人民音乐出版社</w:t>
      </w:r>
    </w:p>
    <w:p w:rsidR="003023A9" w:rsidRDefault="003023A9" w:rsidP="003023A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420"/>
        <w:jc w:val="left"/>
        <w:rPr>
          <w:rFonts w:ascii="楷体" w:eastAsia="楷体" w:hAnsi="楷体" w:cs="楷体" w:hint="default"/>
          <w:lang w:val="zh-TW" w:eastAsia="zh-TW"/>
        </w:rPr>
      </w:pPr>
      <w:r>
        <w:rPr>
          <w:rFonts w:ascii="楷体" w:eastAsia="楷体" w:hAnsi="楷体" w:cs="楷体"/>
          <w:lang w:val="zh-TW" w:eastAsia="zh-TW"/>
        </w:rPr>
        <w:t>出版时间：201</w:t>
      </w:r>
      <w:r>
        <w:rPr>
          <w:rFonts w:ascii="楷体" w:eastAsia="楷体" w:hAnsi="楷体" w:cs="楷体"/>
          <w:lang w:val="zh-CN"/>
        </w:rPr>
        <w:t>5.1</w:t>
      </w:r>
    </w:p>
    <w:p w:rsidR="003023A9" w:rsidRDefault="003023A9" w:rsidP="003023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482"/>
        <w:rPr>
          <w:rFonts w:eastAsia="Arial Unicode MS" w:hint="default"/>
          <w:kern w:val="0"/>
          <w:sz w:val="24"/>
          <w:szCs w:val="24"/>
          <w:lang w:val="zh-TW" w:eastAsia="zh-TW"/>
        </w:rPr>
      </w:pPr>
    </w:p>
    <w:p w:rsidR="003023A9" w:rsidRPr="003122A2" w:rsidRDefault="003023A9" w:rsidP="003122A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firstLineChars="200" w:firstLine="480"/>
        <w:rPr>
          <w:rFonts w:asciiTheme="minorEastAsia" w:eastAsiaTheme="minorEastAsia" w:hAnsiTheme="minorEastAsia"/>
        </w:rPr>
      </w:pPr>
    </w:p>
    <w:p w:rsidR="00A55729" w:rsidRDefault="00A55729">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pPr>
    </w:p>
    <w:sectPr w:rsidR="00A55729" w:rsidSect="00A55729">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FDE" w:rsidRDefault="00D15FDE" w:rsidP="00A55729">
      <w:r>
        <w:separator/>
      </w:r>
    </w:p>
  </w:endnote>
  <w:endnote w:type="continuationSeparator" w:id="1">
    <w:p w:rsidR="00D15FDE" w:rsidRDefault="00D15FDE" w:rsidP="00A55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Neue">
    <w:altName w:val="Arial"/>
    <w:charset w:val="00"/>
    <w:family w:val="roman"/>
    <w:pitch w:val="default"/>
    <w:sig w:usb0="00000000" w:usb1="00000000" w:usb2="00000000" w:usb3="00000000" w:csb0="00000000" w:csb1="00000000"/>
  </w:font>
  <w:font w:name="Songti SC Bold">
    <w:altName w:val="Cambria"/>
    <w:charset w:val="00"/>
    <w:family w:val="roman"/>
    <w:pitch w:val="default"/>
    <w:sig w:usb0="00000000" w:usb1="00000000" w:usb2="00000000" w:usb3="00000000" w:csb0="00000000" w:csb1="00000000"/>
  </w:font>
  <w:font w:name="Songti SC Regular">
    <w:altName w:val="Cambria"/>
    <w:charset w:val="00"/>
    <w:family w:val="roman"/>
    <w:pitch w:val="default"/>
    <w:sig w:usb0="00000000" w:usb1="00000000" w:usb2="00000000" w:usb3="00000000" w:csb0="00000000" w:csb1="00000000"/>
  </w:font>
  <w:font w:name="Times Roman">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FDE" w:rsidRDefault="00D15FDE" w:rsidP="00A55729">
      <w:r>
        <w:separator/>
      </w:r>
    </w:p>
  </w:footnote>
  <w:footnote w:type="continuationSeparator" w:id="1">
    <w:p w:rsidR="00D15FDE" w:rsidRDefault="00D15FDE" w:rsidP="00A557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fillcolor="white">
      <v:fill color="white"/>
    </o:shapedefaults>
  </w:hdrShapeDefaults>
  <w:footnotePr>
    <w:footnote w:id="0"/>
    <w:footnote w:id="1"/>
  </w:footnotePr>
  <w:endnotePr>
    <w:endnote w:id="0"/>
    <w:endnote w:id="1"/>
  </w:endnotePr>
  <w:compat>
    <w:useFELayout/>
  </w:compat>
  <w:rsids>
    <w:rsidRoot w:val="00EC2E9E"/>
    <w:rsid w:val="00044DA1"/>
    <w:rsid w:val="00290ED4"/>
    <w:rsid w:val="003023A9"/>
    <w:rsid w:val="0030262C"/>
    <w:rsid w:val="003122A2"/>
    <w:rsid w:val="00460443"/>
    <w:rsid w:val="005E47E4"/>
    <w:rsid w:val="007C43F8"/>
    <w:rsid w:val="0082124A"/>
    <w:rsid w:val="009376E2"/>
    <w:rsid w:val="00983055"/>
    <w:rsid w:val="009B7B1B"/>
    <w:rsid w:val="00A55729"/>
    <w:rsid w:val="00B81BDB"/>
    <w:rsid w:val="00BE718F"/>
    <w:rsid w:val="00D15FDE"/>
    <w:rsid w:val="00DE5ECF"/>
    <w:rsid w:val="00E51BB1"/>
    <w:rsid w:val="00E6750E"/>
    <w:rsid w:val="00EC2E9E"/>
    <w:rsid w:val="6A174F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729"/>
    <w:pPr>
      <w:widowControl w:val="0"/>
      <w:jc w:val="both"/>
    </w:pPr>
    <w:rPr>
      <w:rFonts w:ascii="Arial Unicode MS" w:eastAsia="Calibri"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qFormat/>
    <w:rsid w:val="00A55729"/>
    <w:pPr>
      <w:suppressAutoHyphens/>
      <w:outlineLvl w:val="0"/>
    </w:pPr>
    <w:rPr>
      <w:rFonts w:ascii="Calibri" w:eastAsia="Arial Unicode MS" w:hAnsi="Calibri" w:cs="Arial Unicode MS"/>
      <w:color w:val="000000"/>
      <w:sz w:val="36"/>
      <w:szCs w:val="36"/>
      <w:lang w:val="zh-CN"/>
    </w:rPr>
  </w:style>
  <w:style w:type="character" w:styleId="a4">
    <w:name w:val="Hyperlink"/>
    <w:rsid w:val="00A55729"/>
    <w:rPr>
      <w:u w:val="single"/>
    </w:rPr>
  </w:style>
  <w:style w:type="table" w:customStyle="1" w:styleId="TableNormal">
    <w:name w:val="Table Normal"/>
    <w:rsid w:val="00A55729"/>
    <w:tblPr>
      <w:tblCellMar>
        <w:top w:w="0" w:type="dxa"/>
        <w:left w:w="0" w:type="dxa"/>
        <w:bottom w:w="0" w:type="dxa"/>
        <w:right w:w="0" w:type="dxa"/>
      </w:tblCellMar>
    </w:tblPr>
  </w:style>
  <w:style w:type="paragraph" w:customStyle="1" w:styleId="a5">
    <w:name w:val="页眉与页脚"/>
    <w:qFormat/>
    <w:rsid w:val="00A55729"/>
    <w:pPr>
      <w:tabs>
        <w:tab w:val="right" w:pos="9020"/>
      </w:tabs>
    </w:pPr>
    <w:rPr>
      <w:rFonts w:ascii="Helvetica Neue" w:eastAsia="Arial Unicode MS" w:hAnsi="Helvetica Neue" w:cs="Arial Unicode MS"/>
      <w:color w:val="000000"/>
      <w:sz w:val="24"/>
      <w:szCs w:val="24"/>
    </w:rPr>
  </w:style>
  <w:style w:type="paragraph" w:customStyle="1" w:styleId="a6">
    <w:name w:val="默认"/>
    <w:qFormat/>
    <w:rsid w:val="00A55729"/>
    <w:pPr>
      <w:spacing w:before="160"/>
    </w:pPr>
    <w:rPr>
      <w:rFonts w:ascii="Helvetica Neue" w:eastAsia="Arial Unicode MS" w:hAnsi="Helvetica Neue" w:cs="Arial Unicode MS"/>
      <w:color w:val="000000"/>
      <w:sz w:val="24"/>
      <w:szCs w:val="24"/>
      <w:lang w:val="zh-CN"/>
    </w:rPr>
  </w:style>
  <w:style w:type="paragraph" w:styleId="a7">
    <w:name w:val="header"/>
    <w:basedOn w:val="a"/>
    <w:link w:val="Char"/>
    <w:uiPriority w:val="99"/>
    <w:semiHidden/>
    <w:unhideWhenUsed/>
    <w:rsid w:val="003122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3122A2"/>
    <w:rPr>
      <w:rFonts w:ascii="Arial Unicode MS" w:eastAsia="Calibri" w:hAnsi="Arial Unicode MS" w:cs="Arial Unicode MS"/>
      <w:color w:val="000000"/>
      <w:kern w:val="2"/>
      <w:sz w:val="18"/>
      <w:szCs w:val="18"/>
      <w:u w:color="000000"/>
    </w:rPr>
  </w:style>
  <w:style w:type="paragraph" w:styleId="a8">
    <w:name w:val="footer"/>
    <w:basedOn w:val="a"/>
    <w:link w:val="Char0"/>
    <w:uiPriority w:val="99"/>
    <w:semiHidden/>
    <w:unhideWhenUsed/>
    <w:rsid w:val="003122A2"/>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3122A2"/>
    <w:rPr>
      <w:rFonts w:ascii="Arial Unicode MS" w:eastAsia="Calibri" w:hAnsi="Arial Unicode MS" w:cs="Arial Unicode MS"/>
      <w:color w:val="000000"/>
      <w:kern w:val="2"/>
      <w:sz w:val="18"/>
      <w:szCs w:val="18"/>
      <w:u w:color="000000"/>
    </w:rPr>
  </w:style>
  <w:style w:type="paragraph" w:styleId="a9">
    <w:name w:val="Balloon Text"/>
    <w:basedOn w:val="a"/>
    <w:link w:val="Char1"/>
    <w:uiPriority w:val="99"/>
    <w:semiHidden/>
    <w:unhideWhenUsed/>
    <w:rsid w:val="003122A2"/>
    <w:rPr>
      <w:sz w:val="18"/>
      <w:szCs w:val="18"/>
    </w:rPr>
  </w:style>
  <w:style w:type="character" w:customStyle="1" w:styleId="Char1">
    <w:name w:val="批注框文本 Char"/>
    <w:basedOn w:val="a0"/>
    <w:link w:val="a9"/>
    <w:uiPriority w:val="99"/>
    <w:semiHidden/>
    <w:rsid w:val="003122A2"/>
    <w:rPr>
      <w:rFonts w:ascii="Arial Unicode MS" w:eastAsia="Calibri" w:hAnsi="Arial Unicode MS" w:cs="Arial Unicode MS"/>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wanghui</dc:creator>
  <cp:lastModifiedBy>user</cp:lastModifiedBy>
  <cp:revision>15</cp:revision>
  <dcterms:created xsi:type="dcterms:W3CDTF">2021-02-24T00:40:00Z</dcterms:created>
  <dcterms:modified xsi:type="dcterms:W3CDTF">2021-03-01T06:56:00Z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