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12年级（上）历史第15课时民国初年民族资本主义的发展</w:t>
      </w:r>
    </w:p>
    <w:p>
      <w:pPr>
        <w:spacing w:line="360" w:lineRule="auto"/>
        <w:jc w:val="center"/>
        <w:rPr>
          <w:rFonts w:hint="eastAsia" w:ascii="宋体" w:hAnsi="宋体" w:eastAsia="宋体" w:cs="宋体"/>
          <w:b w:val="0"/>
          <w:bCs w:val="0"/>
          <w:sz w:val="24"/>
          <w:szCs w:val="24"/>
        </w:rPr>
      </w:pPr>
      <w:bookmarkStart w:id="0" w:name="_GoBack"/>
      <w:bookmarkEnd w:id="0"/>
      <w:r>
        <w:rPr>
          <w:rFonts w:hint="eastAsia" w:ascii="黑体" w:hAnsi="黑体" w:eastAsia="黑体" w:cs="黑体"/>
          <w:b/>
          <w:bCs/>
          <w:sz w:val="28"/>
          <w:szCs w:val="28"/>
        </w:rPr>
        <w:t>（第3周）学程拓展</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阅读材料，回答问题。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实业救国论者大都十分重视对西方经济理论的介绍、探讨和运用，并注意从中国实际出发进行选择取舍。民国初期，随着政治、经济的发展，包括工商界在内的社会各界对政治改良与实业发展的关系有了更加明确的认识，这也是实业救国思潮获得发展的具体反映。振兴实业逐渐成为全社会各阶级各派别的人们共同的愿望，上自政府，下至庶民，都对发展实业十分关注，实业团体也如雨后春笋般出现，并广泛开展各项实业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sz w:val="24"/>
          <w:szCs w:val="24"/>
        </w:rPr>
        <w:t xml:space="preserve">                                    ——摘自朱英《中国近代史十五讲》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依据上述材料，归纳民国初期实业救国思潮的特点。结合所学知识，说明这一时期实业救国思潮得到进一步发展的原因。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66C49"/>
    <w:rsid w:val="0E5D038E"/>
    <w:rsid w:val="16E332FB"/>
    <w:rsid w:val="3EC74504"/>
    <w:rsid w:val="4AF66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2020-07-15T06:00:00Z</dcterms:created>
  <dc:creator>徐海滨</dc:creator>
  <cp:lastModifiedBy>徐海滨</cp:lastModifiedBy>
  <dcterms:modified xsi:type="dcterms:W3CDTF">2020-08-19T01:11:15Z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