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高二年级历史第42课时《隋唐时期的政治重点突破》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御史台是唐代的最高中央监察机关。唐太宗注意以御史治吏。他采纳御史大夫李乾祐的奏请,增设殿中侍御史和监察御史各二人。贞观末年,“于台中置东西二狱”,委御史台有“鞫(jū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审问)案禁系”之权。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——摘编自邱永明《中国古代监察制度史》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人欲自照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必须明镜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主欲知过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必藉忠臣。主若自贤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臣不匡正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欲不危败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岂可得乎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？</w:t>
      </w:r>
      <w:r>
        <w:rPr>
          <w:rFonts w:hint="eastAsia" w:ascii="楷体" w:hAnsi="楷体" w:eastAsia="楷体" w:cs="楷体"/>
          <w:sz w:val="24"/>
          <w:szCs w:val="24"/>
        </w:rPr>
        <w:t>故君失其国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臣亦不能独全其家。至于隋炀帝暴虐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臣下钳口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卒令不闻其过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遂至灭亡……朕每闲居静坐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则自内省。恒恐上不称天心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下为百姓所怨。但思正人匡谏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欲令耳目外通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下无怨滞。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——摘自吴兢《贞观政要》卷二《求谏》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请回答：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据材料一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概括唐太宗以御史治吏的主要特点。(6分)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（2）材料二中唐太宗认为隋亡的主要原因是什么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综合上述材料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分析唐太宗是如何做到君明臣廉的。(10分)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2D1E9B"/>
    <w:rsid w:val="0044161E"/>
    <w:rsid w:val="0044527A"/>
    <w:rsid w:val="00517CBF"/>
    <w:rsid w:val="005C5671"/>
    <w:rsid w:val="006810E8"/>
    <w:rsid w:val="00766700"/>
    <w:rsid w:val="00972AA6"/>
    <w:rsid w:val="009F2B0A"/>
    <w:rsid w:val="00C37185"/>
    <w:rsid w:val="00CD3DB0"/>
    <w:rsid w:val="00E7099D"/>
    <w:rsid w:val="00EA4B6C"/>
    <w:rsid w:val="00F73502"/>
    <w:rsid w:val="01096746"/>
    <w:rsid w:val="0BC307C5"/>
    <w:rsid w:val="308C6129"/>
    <w:rsid w:val="66A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spacing w:line="270" w:lineRule="exact"/>
      <w:ind w:firstLine="420" w:firstLineChars="200"/>
      <w:jc w:val="left"/>
    </w:pPr>
    <w:rPr>
      <w:rFonts w:ascii="NEU-BZ" w:hAnsi="NEU-BZ" w:eastAsia="方正书宋_GBK"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D1C72-03DD-4E1E-A63D-D4895A5BF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18</TotalTime>
  <ScaleCrop>false</ScaleCrop>
  <LinksUpToDate>false</LinksUpToDate>
  <CharactersWithSpaces>384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2020-05-25T00:45:57Z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