
<file path=[Content_Types].xml><?xml version="1.0" encoding="utf-8"?>
<Types xmlns="http://schemas.openxmlformats.org/package/2006/content-types">
  <Default Extension="xml" ContentType="application/xml"/>
  <Default Extension="jpeg" ContentType="image/jpeg"/>
  <Default Extension="png" ContentType="image/png"/>
  <Default Extension="wdp" ContentType="image/vnd.ms-photo"/>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b/>
          <w:bCs/>
          <w:sz w:val="24"/>
          <w:szCs w:val="28"/>
        </w:rPr>
      </w:pPr>
      <w:r>
        <w:rPr>
          <w:rFonts w:hint="eastAsia"/>
          <w:b/>
          <w:bCs/>
          <w:sz w:val="24"/>
          <w:szCs w:val="28"/>
        </w:rPr>
        <w:t>高二化学第21课时《水的电离和溶液的酸碱性习题课》 学习指南</w:t>
      </w:r>
    </w:p>
    <w:p>
      <w:pPr>
        <w:spacing w:line="360" w:lineRule="auto"/>
        <w:rPr>
          <w:rFonts w:ascii="黑体" w:hAnsi="黑体" w:eastAsia="黑体"/>
        </w:rPr>
      </w:pPr>
      <w:r>
        <w:rPr>
          <w:rFonts w:ascii="黑体" w:hAnsi="黑体" w:eastAsia="黑体"/>
        </w:rPr>
        <w:t>【</w:t>
      </w:r>
      <w:r>
        <w:rPr>
          <w:rFonts w:hint="eastAsia" w:ascii="黑体" w:hAnsi="黑体" w:eastAsia="黑体"/>
        </w:rPr>
        <w:t>学习目标</w:t>
      </w:r>
      <w:r>
        <w:rPr>
          <w:rFonts w:ascii="黑体" w:hAnsi="黑体" w:eastAsia="黑体"/>
        </w:rPr>
        <w:t>】</w:t>
      </w:r>
    </w:p>
    <w:p>
      <w:pPr>
        <w:pStyle w:val="9"/>
        <w:numPr>
          <w:ilvl w:val="0"/>
          <w:numId w:val="1"/>
        </w:numPr>
        <w:spacing w:line="360" w:lineRule="auto"/>
        <w:ind w:firstLineChars="0"/>
      </w:pPr>
      <w:r>
        <w:rPr>
          <w:rFonts w:hint="eastAsia"/>
        </w:rPr>
        <w:t>通过实验事实知道水分子能电离，存在电离平衡，认识水的离子积常数。</w:t>
      </w:r>
    </w:p>
    <w:p>
      <w:pPr>
        <w:pStyle w:val="9"/>
        <w:numPr>
          <w:ilvl w:val="0"/>
          <w:numId w:val="1"/>
        </w:numPr>
        <w:spacing w:line="360" w:lineRule="auto"/>
        <w:ind w:firstLineChars="0"/>
      </w:pPr>
      <w:r>
        <w:rPr>
          <w:rFonts w:hint="eastAsia"/>
        </w:rPr>
        <w:t>通过分析向水中加酸、加碱后溶液H</w:t>
      </w:r>
      <w:r>
        <w:rPr>
          <w:rFonts w:hint="eastAsia"/>
          <w:vertAlign w:val="superscript"/>
        </w:rPr>
        <w:t>+</w:t>
      </w:r>
      <w:r>
        <w:rPr>
          <w:rFonts w:hint="eastAsia"/>
        </w:rPr>
        <w:t>、OH</w:t>
      </w:r>
      <w:r>
        <w:rPr>
          <w:rFonts w:hint="eastAsia"/>
          <w:vertAlign w:val="superscript"/>
        </w:rPr>
        <w:t>-</w:t>
      </w:r>
      <w:r>
        <w:rPr>
          <w:rFonts w:hint="eastAsia"/>
        </w:rPr>
        <w:t>浓度的变化趋势从定性和定量两个角度理解水溶液体系的特点及规律。</w:t>
      </w:r>
      <w:bookmarkStart w:id="0" w:name="_GoBack"/>
      <w:bookmarkEnd w:id="0"/>
    </w:p>
    <w:p>
      <w:pPr>
        <w:pStyle w:val="9"/>
        <w:numPr>
          <w:ilvl w:val="0"/>
          <w:numId w:val="1"/>
        </w:numPr>
        <w:spacing w:line="360" w:lineRule="auto"/>
        <w:ind w:firstLineChars="0"/>
      </w:pPr>
      <w:r>
        <w:rPr>
          <w:rFonts w:hint="eastAsia"/>
        </w:rPr>
        <w:t>通过学习pH的涵义，能运用pH判断溶液的酸碱性，并能掌握检测溶液pH的方法。</w:t>
      </w:r>
    </w:p>
    <w:p>
      <w:pPr>
        <w:spacing w:line="360" w:lineRule="auto"/>
        <w:rPr>
          <w:rFonts w:ascii="黑体" w:hAnsi="黑体" w:eastAsia="黑体"/>
        </w:rPr>
      </w:pPr>
      <w:r>
        <w:rPr>
          <w:rFonts w:ascii="黑体" w:hAnsi="黑体" w:eastAsia="黑体"/>
        </w:rPr>
        <w:t>【</w:t>
      </w:r>
      <w:r>
        <w:rPr>
          <w:rFonts w:hint="eastAsia" w:ascii="黑体" w:hAnsi="黑体" w:eastAsia="黑体"/>
        </w:rPr>
        <w:t>学习过程</w:t>
      </w:r>
      <w:r>
        <w:rPr>
          <w:rFonts w:ascii="黑体" w:hAnsi="黑体" w:eastAsia="黑体"/>
        </w:rPr>
        <w:t>】</w:t>
      </w:r>
    </w:p>
    <w:p>
      <w:pPr>
        <w:spacing w:line="360" w:lineRule="auto"/>
        <w:rPr>
          <w:rFonts w:hint="eastAsia"/>
          <w:b/>
          <w:bCs/>
        </w:rPr>
      </w:pPr>
      <w:r>
        <w:rPr>
          <w:rFonts w:hint="eastAsia"/>
          <w:b/>
          <w:bCs/>
        </w:rPr>
        <w:t>环节一：“水的电离和溶液的酸碱性”基础知识复习</w:t>
      </w:r>
    </w:p>
    <w:tbl>
      <w:tblPr>
        <w:tblStyle w:val="5"/>
        <w:tblW w:w="9147" w:type="dxa"/>
        <w:tblInd w:w="600" w:type="dxa"/>
        <w:tblLayout w:type="autofit"/>
        <w:tblCellMar>
          <w:top w:w="0" w:type="dxa"/>
          <w:left w:w="0" w:type="dxa"/>
          <w:bottom w:w="0" w:type="dxa"/>
          <w:right w:w="0" w:type="dxa"/>
        </w:tblCellMar>
      </w:tblPr>
      <w:tblGrid>
        <w:gridCol w:w="1776"/>
        <w:gridCol w:w="851"/>
        <w:gridCol w:w="1025"/>
        <w:gridCol w:w="1101"/>
        <w:gridCol w:w="1276"/>
        <w:gridCol w:w="1134"/>
        <w:gridCol w:w="1134"/>
        <w:gridCol w:w="850"/>
      </w:tblGrid>
      <w:tr>
        <w:tblPrEx>
          <w:tblCellMar>
            <w:top w:w="0" w:type="dxa"/>
            <w:left w:w="0" w:type="dxa"/>
            <w:bottom w:w="0" w:type="dxa"/>
            <w:right w:w="0" w:type="dxa"/>
          </w:tblCellMar>
        </w:tblPrEx>
        <w:tc>
          <w:tcPr>
            <w:tcW w:w="1776"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r>
              <w:rPr>
                <w:rFonts w:hint="eastAsia"/>
              </w:rPr>
              <w:t>改变条件之一</w:t>
            </w:r>
          </w:p>
        </w:tc>
        <w:tc>
          <w:tcPr>
            <w:tcW w:w="851"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r>
              <w:rPr>
                <w:rFonts w:hint="eastAsia"/>
              </w:rPr>
              <w:t>平衡移动方向</w:t>
            </w:r>
          </w:p>
        </w:tc>
        <w:tc>
          <w:tcPr>
            <w:tcW w:w="1025"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r>
              <w:t>K</w:t>
            </w:r>
            <w:r>
              <w:rPr>
                <w:vertAlign w:val="subscript"/>
              </w:rPr>
              <w:t>w</w:t>
            </w:r>
          </w:p>
        </w:tc>
        <w:tc>
          <w:tcPr>
            <w:tcW w:w="1101"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r>
              <w:t>c(H</w:t>
            </w:r>
            <w:r>
              <w:rPr>
                <w:vertAlign w:val="superscript"/>
              </w:rPr>
              <w:t>+</w:t>
            </w:r>
            <w:r>
              <w:t>)</w:t>
            </w:r>
            <w:r>
              <w:rPr>
                <w:rFonts w:hint="eastAsia"/>
              </w:rPr>
              <w:t>溶液</w:t>
            </w:r>
          </w:p>
        </w:tc>
        <w:tc>
          <w:tcPr>
            <w:tcW w:w="1276"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r>
              <w:t>c(OH</w:t>
            </w:r>
            <w:r>
              <w:rPr>
                <w:vertAlign w:val="superscript"/>
              </w:rPr>
              <w:t>-</w:t>
            </w:r>
            <w:r>
              <w:t>)</w:t>
            </w:r>
            <w:r>
              <w:rPr>
                <w:rFonts w:hint="eastAsia"/>
              </w:rPr>
              <w:t>溶液</w:t>
            </w:r>
          </w:p>
        </w:tc>
        <w:tc>
          <w:tcPr>
            <w:tcW w:w="1134"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r>
              <w:rPr>
                <w:rFonts w:hint="eastAsia"/>
              </w:rPr>
              <w:t>水电离出的</w:t>
            </w:r>
            <w:r>
              <w:t>c(H</w:t>
            </w:r>
            <w:r>
              <w:rPr>
                <w:vertAlign w:val="superscript"/>
              </w:rPr>
              <w:t>+</w:t>
            </w:r>
            <w:r>
              <w:t>)</w:t>
            </w:r>
          </w:p>
        </w:tc>
        <w:tc>
          <w:tcPr>
            <w:tcW w:w="1134"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r>
              <w:rPr>
                <w:rFonts w:hint="eastAsia"/>
              </w:rPr>
              <w:t>水电离出的</w:t>
            </w:r>
            <w:r>
              <w:t>c(OH</w:t>
            </w:r>
            <w:r>
              <w:rPr>
                <w:vertAlign w:val="superscript"/>
              </w:rPr>
              <w:t>-</w:t>
            </w:r>
            <w:r>
              <w:t>)</w:t>
            </w:r>
          </w:p>
        </w:tc>
        <w:tc>
          <w:tcPr>
            <w:tcW w:w="850"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r>
              <w:rPr>
                <w:rFonts w:hint="eastAsia"/>
              </w:rPr>
              <w:t>溶液酸碱性</w:t>
            </w:r>
          </w:p>
        </w:tc>
      </w:tr>
      <w:tr>
        <w:tblPrEx>
          <w:tblCellMar>
            <w:top w:w="0" w:type="dxa"/>
            <w:left w:w="0" w:type="dxa"/>
            <w:bottom w:w="0" w:type="dxa"/>
            <w:right w:w="0" w:type="dxa"/>
          </w:tblCellMar>
        </w:tblPrEx>
        <w:trPr>
          <w:trHeight w:val="377" w:hRule="atLeast"/>
        </w:trPr>
        <w:tc>
          <w:tcPr>
            <w:tcW w:w="1776"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r>
              <w:rPr>
                <w:rFonts w:hint="eastAsia"/>
              </w:rPr>
              <w:t>升温到</w:t>
            </w:r>
            <w:r>
              <w:t>100</w:t>
            </w:r>
            <w:r>
              <w:rPr>
                <w:rFonts w:hint="eastAsia" w:ascii="宋体" w:hAnsi="宋体" w:eastAsia="宋体" w:cs="宋体"/>
              </w:rPr>
              <w:t>℃</w:t>
            </w:r>
          </w:p>
        </w:tc>
        <w:tc>
          <w:tcPr>
            <w:tcW w:w="851"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p>
        </w:tc>
        <w:tc>
          <w:tcPr>
            <w:tcW w:w="1025"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r>
              <w:t>1x10</w:t>
            </w:r>
            <w:r>
              <w:rPr>
                <w:vertAlign w:val="superscript"/>
              </w:rPr>
              <w:t>-12</w:t>
            </w:r>
          </w:p>
        </w:tc>
        <w:tc>
          <w:tcPr>
            <w:tcW w:w="1101"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p>
        </w:tc>
        <w:tc>
          <w:tcPr>
            <w:tcW w:w="1276"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p>
        </w:tc>
        <w:tc>
          <w:tcPr>
            <w:tcW w:w="1134"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p>
        </w:tc>
        <w:tc>
          <w:tcPr>
            <w:tcW w:w="1134"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pPr>
            <w:r>
              <w:t> </w:t>
            </w:r>
          </w:p>
        </w:tc>
        <w:tc>
          <w:tcPr>
            <w:tcW w:w="850"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pPr>
            <w:r>
              <w:t> </w:t>
            </w:r>
          </w:p>
        </w:tc>
      </w:tr>
      <w:tr>
        <w:tblPrEx>
          <w:tblCellMar>
            <w:top w:w="0" w:type="dxa"/>
            <w:left w:w="0" w:type="dxa"/>
            <w:bottom w:w="0" w:type="dxa"/>
            <w:right w:w="0" w:type="dxa"/>
          </w:tblCellMar>
        </w:tblPrEx>
        <w:trPr>
          <w:trHeight w:val="397" w:hRule="atLeast"/>
        </w:trPr>
        <w:tc>
          <w:tcPr>
            <w:tcW w:w="1776"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r>
              <w:rPr>
                <w:rFonts w:hint="eastAsia"/>
              </w:rPr>
              <w:t>滴加少量盐酸</w:t>
            </w:r>
          </w:p>
        </w:tc>
        <w:tc>
          <w:tcPr>
            <w:tcW w:w="851"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p>
        </w:tc>
        <w:tc>
          <w:tcPr>
            <w:tcW w:w="1025"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p>
        </w:tc>
        <w:tc>
          <w:tcPr>
            <w:tcW w:w="1101"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r>
              <w:t>10</w:t>
            </w:r>
            <w:r>
              <w:rPr>
                <w:vertAlign w:val="superscript"/>
              </w:rPr>
              <w:t>-2</w:t>
            </w:r>
            <w:r>
              <w:t xml:space="preserve"> mol/L</w:t>
            </w:r>
          </w:p>
        </w:tc>
        <w:tc>
          <w:tcPr>
            <w:tcW w:w="1276"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p>
        </w:tc>
        <w:tc>
          <w:tcPr>
            <w:tcW w:w="1134"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p>
        </w:tc>
        <w:tc>
          <w:tcPr>
            <w:tcW w:w="1134"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pPr>
            <w:r>
              <w:t> </w:t>
            </w:r>
          </w:p>
        </w:tc>
        <w:tc>
          <w:tcPr>
            <w:tcW w:w="850"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pPr>
            <w:r>
              <w:t> </w:t>
            </w:r>
          </w:p>
        </w:tc>
      </w:tr>
      <w:tr>
        <w:tblPrEx>
          <w:tblCellMar>
            <w:top w:w="0" w:type="dxa"/>
            <w:left w:w="0" w:type="dxa"/>
            <w:bottom w:w="0" w:type="dxa"/>
            <w:right w:w="0" w:type="dxa"/>
          </w:tblCellMar>
        </w:tblPrEx>
        <w:trPr>
          <w:trHeight w:val="531" w:hRule="atLeast"/>
        </w:trPr>
        <w:tc>
          <w:tcPr>
            <w:tcW w:w="1776"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r>
              <w:rPr>
                <w:rFonts w:hint="eastAsia"/>
              </w:rPr>
              <w:t>加氢氧化钠固体</w:t>
            </w:r>
          </w:p>
        </w:tc>
        <w:tc>
          <w:tcPr>
            <w:tcW w:w="851"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p>
        </w:tc>
        <w:tc>
          <w:tcPr>
            <w:tcW w:w="1025"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p>
        </w:tc>
        <w:tc>
          <w:tcPr>
            <w:tcW w:w="1101"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p>
        </w:tc>
        <w:tc>
          <w:tcPr>
            <w:tcW w:w="1276"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r>
              <w:t>10</w:t>
            </w:r>
            <w:r>
              <w:rPr>
                <w:vertAlign w:val="superscript"/>
              </w:rPr>
              <w:t>-2</w:t>
            </w:r>
            <w:r>
              <w:t xml:space="preserve"> mol/L</w:t>
            </w:r>
          </w:p>
        </w:tc>
        <w:tc>
          <w:tcPr>
            <w:tcW w:w="1134"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jc w:val="center"/>
            </w:pPr>
          </w:p>
        </w:tc>
        <w:tc>
          <w:tcPr>
            <w:tcW w:w="1134"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pPr>
            <w:r>
              <w:t> </w:t>
            </w:r>
          </w:p>
        </w:tc>
        <w:tc>
          <w:tcPr>
            <w:tcW w:w="850" w:type="dxa"/>
            <w:tcBorders>
              <w:top w:val="single" w:color="000000" w:sz="8" w:space="0"/>
              <w:left w:val="single" w:color="000000" w:sz="8" w:space="0"/>
              <w:bottom w:val="single" w:color="000000" w:sz="8" w:space="0"/>
              <w:right w:val="single" w:color="000000" w:sz="8" w:space="0"/>
            </w:tcBorders>
            <w:shd w:val="clear" w:color="auto" w:fill="auto"/>
            <w:tcMar>
              <w:top w:w="15" w:type="dxa"/>
              <w:left w:w="108" w:type="dxa"/>
              <w:bottom w:w="0" w:type="dxa"/>
              <w:right w:w="108" w:type="dxa"/>
            </w:tcMar>
          </w:tcPr>
          <w:p>
            <w:pPr>
              <w:spacing w:line="360" w:lineRule="auto"/>
            </w:pPr>
            <w:r>
              <w:t> </w:t>
            </w:r>
          </w:p>
        </w:tc>
      </w:tr>
    </w:tbl>
    <w:p>
      <w:pPr>
        <w:spacing w:line="360" w:lineRule="auto"/>
        <w:rPr>
          <w:rFonts w:hint="eastAsia"/>
          <w:b/>
          <w:bCs/>
        </w:rPr>
      </w:pPr>
      <w:r>
        <w:rPr>
          <w:rFonts w:hint="eastAsia"/>
          <w:b/>
          <w:bCs/>
        </w:rPr>
        <w:t>环节二：例题分析</w:t>
      </w:r>
    </w:p>
    <w:p>
      <w:pPr>
        <w:spacing w:line="360" w:lineRule="auto"/>
      </w:pPr>
      <w:r>
        <w:rPr>
          <w:rFonts w:hint="eastAsia"/>
        </w:rPr>
        <w:t>例</w:t>
      </w:r>
      <w:r>
        <w:t>1</w:t>
      </w:r>
      <w:r>
        <w:rPr>
          <w:rFonts w:hint="eastAsia"/>
        </w:rPr>
        <w:t>：已知在</w:t>
      </w:r>
      <w:r>
        <w:t>t</w:t>
      </w:r>
      <w:r>
        <w:rPr>
          <w:vertAlign w:val="subscript"/>
        </w:rPr>
        <w:t>1</w:t>
      </w:r>
      <w:r>
        <w:rPr>
          <w:rFonts w:hint="eastAsia"/>
        </w:rPr>
        <w:t>、</w:t>
      </w:r>
      <w:r>
        <w:t>t</w:t>
      </w:r>
      <w:r>
        <w:rPr>
          <w:vertAlign w:val="subscript"/>
        </w:rPr>
        <w:t>2</w:t>
      </w:r>
      <w:r>
        <w:rPr>
          <w:rFonts w:hint="eastAsia"/>
        </w:rPr>
        <w:t>温度下水的电离平衡曲线如图所示</w:t>
      </w:r>
      <w:r>
        <w:t>,</w:t>
      </w:r>
      <w:r>
        <w:rPr>
          <w:rFonts w:hint="eastAsia"/>
        </w:rPr>
        <w:t>则下列说法中不正确的是</w:t>
      </w:r>
      <w:r>
        <w:t>(</w:t>
      </w:r>
      <w:r>
        <w:rPr>
          <w:rFonts w:hint="eastAsia"/>
        </w:rPr>
        <w:t>　　</w:t>
      </w:r>
      <w:r>
        <w:t>)</w:t>
      </w:r>
    </w:p>
    <w:p>
      <w:pPr>
        <w:spacing w:line="360" w:lineRule="auto"/>
      </w:pPr>
      <w:r>
        <w:drawing>
          <wp:anchor distT="0" distB="0" distL="114300" distR="114300" simplePos="0" relativeHeight="251658240" behindDoc="0" locked="0" layoutInCell="1" allowOverlap="1">
            <wp:simplePos x="0" y="0"/>
            <wp:positionH relativeFrom="margin">
              <wp:posOffset>4437380</wp:posOffset>
            </wp:positionH>
            <wp:positionV relativeFrom="margin">
              <wp:posOffset>4869815</wp:posOffset>
            </wp:positionV>
            <wp:extent cx="1485900" cy="990600"/>
            <wp:effectExtent l="0" t="0" r="0" b="0"/>
            <wp:wrapSquare wrapText="bothSides"/>
            <wp:docPr id="4" name="20xx4rjhx123.jpg" descr="id:2147506716;FounderCES"/>
            <wp:cNvGraphicFramePr/>
            <a:graphic xmlns:a="http://schemas.openxmlformats.org/drawingml/2006/main">
              <a:graphicData uri="http://schemas.openxmlformats.org/drawingml/2006/picture">
                <pic:pic xmlns:pic="http://schemas.openxmlformats.org/drawingml/2006/picture">
                  <pic:nvPicPr>
                    <pic:cNvPr id="4" name="20xx4rjhx123.jpg" descr="id:2147506716;FounderCES"/>
                    <pic:cNvPicPr/>
                  </pic:nvPicPr>
                  <pic:blipFill>
                    <a:blip r:embed="rId4" cstate="print">
                      <a:extLst>
                        <a:ext uri="{28A0092B-C50C-407E-A947-70E740481C1C}">
                          <a14:useLocalDpi xmlns:a14="http://schemas.microsoft.com/office/drawing/2010/main" val="0"/>
                        </a:ext>
                      </a:extLst>
                    </a:blip>
                    <a:stretch>
                      <a:fillRect/>
                    </a:stretch>
                  </pic:blipFill>
                  <pic:spPr>
                    <a:xfrm>
                      <a:off x="0" y="0"/>
                      <a:ext cx="1485900" cy="990600"/>
                    </a:xfrm>
                    <a:prstGeom prst="rect">
                      <a:avLst/>
                    </a:prstGeom>
                  </pic:spPr>
                </pic:pic>
              </a:graphicData>
            </a:graphic>
          </wp:anchor>
        </w:drawing>
      </w:r>
      <w:r>
        <w:t>A.t</w:t>
      </w:r>
      <w:r>
        <w:rPr>
          <w:vertAlign w:val="subscript"/>
        </w:rPr>
        <w:t>1</w:t>
      </w:r>
      <w:r>
        <w:t>&lt;t</w:t>
      </w:r>
      <w:r>
        <w:rPr>
          <w:vertAlign w:val="subscript"/>
        </w:rPr>
        <w:t>2</w:t>
      </w:r>
    </w:p>
    <w:p>
      <w:pPr>
        <w:spacing w:line="360" w:lineRule="auto"/>
      </w:pPr>
      <w:r>
        <w:t>B.</w:t>
      </w:r>
      <w:r>
        <w:rPr>
          <w:rFonts w:hint="eastAsia"/>
        </w:rPr>
        <w:t>一定温度下</w:t>
      </w:r>
      <w:r>
        <w:t>,</w:t>
      </w:r>
      <w:r>
        <w:rPr>
          <w:rFonts w:hint="eastAsia"/>
        </w:rPr>
        <w:t>改变水溶液中</w:t>
      </w:r>
      <w:r>
        <w:t>c(H</w:t>
      </w:r>
      <w:r>
        <w:rPr>
          <w:vertAlign w:val="superscript"/>
        </w:rPr>
        <w:t>+</w:t>
      </w:r>
      <w:r>
        <w:t>)</w:t>
      </w:r>
      <w:r>
        <w:rPr>
          <w:rFonts w:hint="eastAsia"/>
        </w:rPr>
        <w:t>或</w:t>
      </w:r>
      <w:r>
        <w:t>c(OH</w:t>
      </w:r>
      <w:r>
        <w:rPr>
          <w:vertAlign w:val="superscript"/>
        </w:rPr>
        <w:t>-</w:t>
      </w:r>
      <w:r>
        <w:t>)</w:t>
      </w:r>
      <w:r>
        <w:rPr>
          <w:rFonts w:hint="eastAsia"/>
        </w:rPr>
        <w:t>的浓度</w:t>
      </w:r>
      <w:r>
        <w:t>,K</w:t>
      </w:r>
      <w:r>
        <w:rPr>
          <w:vertAlign w:val="subscript"/>
        </w:rPr>
        <w:t>W</w:t>
      </w:r>
      <w:r>
        <w:rPr>
          <w:rFonts w:hint="eastAsia"/>
        </w:rPr>
        <w:t>不会发生变化</w:t>
      </w:r>
    </w:p>
    <w:p>
      <w:pPr>
        <w:spacing w:line="360" w:lineRule="auto"/>
      </w:pPr>
      <w:r>
        <w:t>C.t</w:t>
      </w:r>
      <w:r>
        <w:rPr>
          <w:vertAlign w:val="subscript"/>
        </w:rPr>
        <w:t>2</w:t>
      </w:r>
      <w:r>
        <w:rPr>
          <w:rFonts w:hint="eastAsia"/>
        </w:rPr>
        <w:t>温度时</w:t>
      </w:r>
      <w:r>
        <w:t>pH</w:t>
      </w:r>
      <w:r>
        <w:rPr>
          <w:rFonts w:hint="eastAsia"/>
        </w:rPr>
        <w:t>为</w:t>
      </w:r>
      <w:r>
        <w:t>2</w:t>
      </w:r>
      <w:r>
        <w:rPr>
          <w:rFonts w:hint="eastAsia"/>
        </w:rPr>
        <w:t>的盐酸中</w:t>
      </w:r>
      <w:r>
        <w:t>,</w:t>
      </w:r>
      <w:r>
        <w:rPr>
          <w:rFonts w:hint="eastAsia"/>
        </w:rPr>
        <w:t>水电离出的</w:t>
      </w:r>
      <w:r>
        <w:t>c(H</w:t>
      </w:r>
      <w:r>
        <w:rPr>
          <w:vertAlign w:val="superscript"/>
        </w:rPr>
        <w:t>+</w:t>
      </w:r>
      <w:r>
        <w:t>)=1×10</w:t>
      </w:r>
      <w:r>
        <w:rPr>
          <w:vertAlign w:val="superscript"/>
        </w:rPr>
        <w:t>-10</w:t>
      </w:r>
      <w:r>
        <w:t xml:space="preserve"> mol·L</w:t>
      </w:r>
      <w:r>
        <w:rPr>
          <w:vertAlign w:val="superscript"/>
        </w:rPr>
        <w:t>-1</w:t>
      </w:r>
    </w:p>
    <w:p>
      <w:pPr>
        <w:spacing w:line="360" w:lineRule="auto"/>
      </w:pPr>
      <w:r>
        <w:t>D.</w:t>
      </w:r>
      <w:r>
        <w:rPr>
          <w:rFonts w:hint="eastAsia"/>
        </w:rPr>
        <w:t>将</w:t>
      </w:r>
      <w:r>
        <w:t>t</w:t>
      </w:r>
      <w:r>
        <w:rPr>
          <w:vertAlign w:val="subscript"/>
        </w:rPr>
        <w:t>1</w:t>
      </w:r>
      <w:r>
        <w:rPr>
          <w:rFonts w:hint="eastAsia"/>
        </w:rPr>
        <w:t>温度下</w:t>
      </w:r>
      <w:r>
        <w:t>0.1 mol·L</w:t>
      </w:r>
      <w:r>
        <w:rPr>
          <w:vertAlign w:val="superscript"/>
        </w:rPr>
        <w:t>-1</w:t>
      </w:r>
      <w:r>
        <w:rPr>
          <w:rFonts w:hint="eastAsia"/>
        </w:rPr>
        <w:t>的盐酸稀释</w:t>
      </w:r>
      <w:r>
        <w:t>,</w:t>
      </w:r>
      <w:r>
        <w:rPr>
          <w:rFonts w:hint="eastAsia"/>
        </w:rPr>
        <w:t>溶液中所有离子的浓度均相应减小</w:t>
      </w:r>
    </w:p>
    <w:p>
      <w:pPr>
        <w:spacing w:line="360" w:lineRule="auto"/>
      </w:pPr>
      <w:r>
        <w:rPr>
          <w:rFonts w:hint="eastAsia"/>
        </w:rPr>
        <w:t>反馈练习</w:t>
      </w:r>
      <w:r>
        <w:t>1</w:t>
      </w:r>
      <w:r>
        <w:rPr>
          <w:rFonts w:hint="eastAsia"/>
        </w:rPr>
        <w:t>：某温度下，纯水中的</w:t>
      </w:r>
      <w:r>
        <w:rPr>
          <w:i/>
          <w:iCs/>
        </w:rPr>
        <w:t>c</w:t>
      </w:r>
      <w:r>
        <w:t>(H</w:t>
      </w:r>
      <w:r>
        <w:rPr>
          <w:vertAlign w:val="superscript"/>
        </w:rPr>
        <w:t>+</w:t>
      </w:r>
      <w:r>
        <w:t>)</w:t>
      </w:r>
      <w:r>
        <w:rPr>
          <w:rFonts w:hint="eastAsia"/>
        </w:rPr>
        <w:t>＝</w:t>
      </w:r>
      <w:r>
        <w:t>2.0×10</w:t>
      </w:r>
      <w:r>
        <w:rPr>
          <w:vertAlign w:val="superscript"/>
        </w:rPr>
        <w:t xml:space="preserve">-7 </w:t>
      </w:r>
      <w:r>
        <w:t>mol/L</w:t>
      </w:r>
      <w:r>
        <w:rPr>
          <w:rFonts w:hint="eastAsia"/>
        </w:rPr>
        <w:t>，此时溶液的</w:t>
      </w:r>
      <w:r>
        <w:rPr>
          <w:i/>
          <w:iCs/>
        </w:rPr>
        <w:t>c</w:t>
      </w:r>
      <w:r>
        <w:t>(OH</w:t>
      </w:r>
      <w:r>
        <w:rPr>
          <w:rFonts w:hint="eastAsia"/>
          <w:vertAlign w:val="superscript"/>
        </w:rPr>
        <w:t>－</w:t>
      </w:r>
      <w:r>
        <w:t>)</w:t>
      </w:r>
      <w:r>
        <w:rPr>
          <w:rFonts w:hint="eastAsia"/>
        </w:rPr>
        <w:t>＝</w:t>
      </w:r>
      <w:r>
        <w:rPr>
          <w:u w:val="single"/>
        </w:rPr>
        <w:t xml:space="preserve">       </w:t>
      </w:r>
      <w:r>
        <w:t xml:space="preserve"> mol/L</w:t>
      </w:r>
      <w:r>
        <w:rPr>
          <w:rFonts w:hint="eastAsia"/>
        </w:rPr>
        <w:t>；若温度不变，滴入稀盐酸使</w:t>
      </w:r>
      <w:r>
        <w:rPr>
          <w:i/>
          <w:iCs/>
        </w:rPr>
        <w:t>c</w:t>
      </w:r>
      <w:r>
        <w:t>(H</w:t>
      </w:r>
      <w:r>
        <w:rPr>
          <w:vertAlign w:val="superscript"/>
        </w:rPr>
        <w:t>+</w:t>
      </w:r>
      <w:r>
        <w:t>)</w:t>
      </w:r>
      <w:r>
        <w:rPr>
          <w:rFonts w:hint="eastAsia"/>
        </w:rPr>
        <w:t>＝</w:t>
      </w:r>
      <w:r>
        <w:t>5.0×10</w:t>
      </w:r>
      <w:r>
        <w:rPr>
          <w:vertAlign w:val="superscript"/>
        </w:rPr>
        <w:t xml:space="preserve">-4 </w:t>
      </w:r>
      <w:r>
        <w:t>mol/L</w:t>
      </w:r>
      <w:r>
        <w:rPr>
          <w:rFonts w:hint="eastAsia"/>
        </w:rPr>
        <w:t>，则溶液中</w:t>
      </w:r>
      <w:r>
        <w:rPr>
          <w:i/>
          <w:iCs/>
        </w:rPr>
        <w:t>c</w:t>
      </w:r>
      <w:r>
        <w:t>(OH</w:t>
      </w:r>
      <w:r>
        <w:rPr>
          <w:rFonts w:hint="eastAsia"/>
          <w:vertAlign w:val="superscript"/>
        </w:rPr>
        <w:t>－</w:t>
      </w:r>
      <w:r>
        <w:t>)</w:t>
      </w:r>
      <w:r>
        <w:rPr>
          <w:rFonts w:hint="eastAsia"/>
        </w:rPr>
        <w:t>＝</w:t>
      </w:r>
      <w:r>
        <w:rPr>
          <w:u w:val="single"/>
        </w:rPr>
        <w:t xml:space="preserve">       </w:t>
      </w:r>
      <w:r>
        <w:t xml:space="preserve"> mol/L</w:t>
      </w:r>
      <w:r>
        <w:rPr>
          <w:rFonts w:hint="eastAsia"/>
        </w:rPr>
        <w:t>，由水电离产生的</w:t>
      </w:r>
      <w:r>
        <w:rPr>
          <w:i/>
          <w:iCs/>
        </w:rPr>
        <w:t>c</w:t>
      </w:r>
      <w:r>
        <w:t>(H</w:t>
      </w:r>
      <w:r>
        <w:rPr>
          <w:rFonts w:hint="eastAsia"/>
          <w:vertAlign w:val="superscript"/>
        </w:rPr>
        <w:t>＋</w:t>
      </w:r>
      <w:r>
        <w:t>)</w:t>
      </w:r>
      <w:r>
        <w:rPr>
          <w:rFonts w:hint="eastAsia"/>
        </w:rPr>
        <w:t>＝</w:t>
      </w:r>
      <w:r>
        <w:rPr>
          <w:u w:val="single"/>
        </w:rPr>
        <w:t xml:space="preserve">       </w:t>
      </w:r>
      <w:r>
        <w:t xml:space="preserve"> mol/L</w:t>
      </w:r>
      <w:r>
        <w:rPr>
          <w:rFonts w:hint="eastAsia"/>
        </w:rPr>
        <w:t>，此时温度</w:t>
      </w:r>
      <w:r>
        <w:rPr>
          <w:u w:val="single"/>
        </w:rPr>
        <w:t xml:space="preserve">       </w:t>
      </w:r>
      <w:r>
        <w:t xml:space="preserve"> 25</w:t>
      </w:r>
      <w:r>
        <w:rPr>
          <w:rFonts w:hint="eastAsia" w:ascii="宋体" w:hAnsi="宋体" w:eastAsia="宋体" w:cs="宋体"/>
        </w:rPr>
        <w:t>℃</w:t>
      </w:r>
      <w:r>
        <w:rPr>
          <w:rFonts w:hint="eastAsia"/>
        </w:rPr>
        <w:t>（填</w:t>
      </w:r>
      <w:r>
        <w:t>“</w:t>
      </w:r>
      <w:r>
        <w:rPr>
          <w:rFonts w:hint="eastAsia"/>
        </w:rPr>
        <w:t>高于</w:t>
      </w:r>
      <w:r>
        <w:t>”“</w:t>
      </w:r>
      <w:r>
        <w:rPr>
          <w:rFonts w:hint="eastAsia"/>
        </w:rPr>
        <w:t>低于</w:t>
      </w:r>
      <w:r>
        <w:t>”</w:t>
      </w:r>
      <w:r>
        <w:rPr>
          <w:rFonts w:hint="eastAsia"/>
        </w:rPr>
        <w:t>或</w:t>
      </w:r>
      <w:r>
        <w:t>“</w:t>
      </w:r>
      <w:r>
        <w:rPr>
          <w:rFonts w:hint="eastAsia"/>
        </w:rPr>
        <w:t>等于</w:t>
      </w:r>
      <w:r>
        <w:t>”</w:t>
      </w:r>
      <w:r>
        <w:rPr>
          <w:rFonts w:hint="eastAsia"/>
        </w:rPr>
        <w:t>）。</w:t>
      </w:r>
    </w:p>
    <w:p>
      <w:pPr>
        <w:spacing w:line="360" w:lineRule="auto"/>
      </w:pPr>
      <w:r>
        <w:rPr>
          <w:rFonts w:hint="eastAsia"/>
        </w:rPr>
        <w:t>例</w:t>
      </w:r>
      <w:r>
        <w:t>2</w:t>
      </w:r>
      <w:r>
        <w:rPr>
          <w:rFonts w:hint="eastAsia"/>
        </w:rPr>
        <w:t>：判断正误。</w:t>
      </w:r>
    </w:p>
    <w:p>
      <w:pPr>
        <w:spacing w:line="360" w:lineRule="auto"/>
      </w:pPr>
      <w:r>
        <w:t>1.</w:t>
      </w:r>
      <w:r>
        <w:rPr>
          <w:rFonts w:hint="eastAsia"/>
        </w:rPr>
        <w:t>溶液显酸性是由于溶液中含有</w:t>
      </w:r>
      <w:r>
        <w:t>H</w:t>
      </w:r>
      <w:r>
        <w:rPr>
          <w:vertAlign w:val="superscript"/>
        </w:rPr>
        <w:t>+</w:t>
      </w:r>
    </w:p>
    <w:p>
      <w:pPr>
        <w:spacing w:line="360" w:lineRule="auto"/>
      </w:pPr>
      <w:r>
        <w:t xml:space="preserve">2.100 </w:t>
      </w:r>
      <w:r>
        <w:rPr>
          <w:rFonts w:hint="eastAsia" w:ascii="宋体" w:hAnsi="宋体" w:eastAsia="宋体" w:cs="宋体"/>
        </w:rPr>
        <w:t>℃</w:t>
      </w:r>
      <w:r>
        <w:rPr>
          <w:rFonts w:hint="eastAsia"/>
        </w:rPr>
        <w:t>时</w:t>
      </w:r>
      <w:r>
        <w:t>,pH=7</w:t>
      </w:r>
      <w:r>
        <w:rPr>
          <w:rFonts w:hint="eastAsia"/>
        </w:rPr>
        <w:t>的溶液呈碱性</w:t>
      </w:r>
    </w:p>
    <w:p>
      <w:pPr>
        <w:spacing w:line="360" w:lineRule="auto"/>
      </w:pPr>
      <w:r>
        <w:t>3.</w:t>
      </w:r>
      <w:r>
        <w:rPr>
          <w:rFonts w:hint="eastAsia"/>
        </w:rPr>
        <w:t>室温下，</w:t>
      </w:r>
      <w:r>
        <w:t xml:space="preserve"> pH=7</w:t>
      </w:r>
      <w:r>
        <w:rPr>
          <w:rFonts w:hint="eastAsia"/>
        </w:rPr>
        <w:t>的溶液呈中性</w:t>
      </w:r>
    </w:p>
    <w:p>
      <w:pPr>
        <w:spacing w:line="360" w:lineRule="auto"/>
      </w:pPr>
      <w:r>
        <w:t>4.</w:t>
      </w:r>
      <w:r>
        <w:rPr>
          <w:rFonts w:hint="eastAsia"/>
        </w:rPr>
        <w:t>中性溶液中一定有</w:t>
      </w:r>
      <w:r>
        <w:t>c(H</w:t>
      </w:r>
      <w:r>
        <w:rPr>
          <w:vertAlign w:val="superscript"/>
        </w:rPr>
        <w:t>+</w:t>
      </w:r>
      <w:r>
        <w:t>)=1.0×10</w:t>
      </w:r>
      <w:r>
        <w:rPr>
          <w:vertAlign w:val="superscript"/>
        </w:rPr>
        <w:t>-7</w:t>
      </w:r>
      <w:r>
        <w:t xml:space="preserve"> mol·L</w:t>
      </w:r>
      <w:r>
        <w:rPr>
          <w:vertAlign w:val="superscript"/>
        </w:rPr>
        <w:t>-1</w:t>
      </w:r>
    </w:p>
    <w:p>
      <w:pPr>
        <w:spacing w:line="360" w:lineRule="auto"/>
      </w:pPr>
      <w:r>
        <w:t>5.c(H</w:t>
      </w:r>
      <w:r>
        <w:rPr>
          <w:vertAlign w:val="superscript"/>
        </w:rPr>
        <w:t>+</w:t>
      </w:r>
      <w:r>
        <w:t>)=c(OH</w:t>
      </w:r>
      <w:r>
        <w:rPr>
          <w:vertAlign w:val="superscript"/>
        </w:rPr>
        <w:t>-</w:t>
      </w:r>
      <w:r>
        <w:t>)</w:t>
      </w:r>
      <w:r>
        <w:rPr>
          <w:rFonts w:hint="eastAsia"/>
        </w:rPr>
        <w:t>的溶液呈中性</w:t>
      </w:r>
    </w:p>
    <w:p>
      <w:pPr>
        <w:spacing w:line="360" w:lineRule="auto"/>
      </w:pPr>
      <w:r>
        <w:t>6.</w:t>
      </w:r>
      <w:r>
        <w:rPr>
          <w:rFonts w:hint="eastAsia"/>
        </w:rPr>
        <w:t>常温下，能使得石蕊试剂显紫色的溶液为中性</w:t>
      </w:r>
    </w:p>
    <w:p>
      <w:pPr>
        <w:spacing w:line="360" w:lineRule="auto"/>
      </w:pPr>
      <w:r>
        <w:rPr>
          <w:rFonts w:hint="eastAsia"/>
        </w:rPr>
        <w:t>反馈练习</w:t>
      </w:r>
      <w:r>
        <w:t>2:313 K</w:t>
      </w:r>
      <w:r>
        <w:rPr>
          <w:rFonts w:hint="eastAsia"/>
        </w:rPr>
        <w:t>时</w:t>
      </w:r>
      <w:r>
        <w:t>,</w:t>
      </w:r>
      <w:r>
        <w:rPr>
          <w:rFonts w:hint="eastAsia"/>
        </w:rPr>
        <w:t>水的</w:t>
      </w:r>
      <w:r>
        <w:t>K</w:t>
      </w:r>
      <w:r>
        <w:rPr>
          <w:vertAlign w:val="subscript"/>
        </w:rPr>
        <w:t>W</w:t>
      </w:r>
      <w:r>
        <w:t>=3.0×10</w:t>
      </w:r>
      <w:r>
        <w:rPr>
          <w:vertAlign w:val="superscript"/>
        </w:rPr>
        <w:t>-14</w:t>
      </w:r>
      <w:r>
        <w:t>,</w:t>
      </w:r>
      <w:r>
        <w:rPr>
          <w:rFonts w:hint="eastAsia"/>
        </w:rPr>
        <w:t>则在</w:t>
      </w:r>
      <w:r>
        <w:t>313 K</w:t>
      </w:r>
      <w:r>
        <w:rPr>
          <w:rFonts w:hint="eastAsia"/>
        </w:rPr>
        <w:t>时</w:t>
      </w:r>
      <w:r>
        <w:t>,c(H</w:t>
      </w:r>
      <w:r>
        <w:rPr>
          <w:vertAlign w:val="superscript"/>
        </w:rPr>
        <w:t>+</w:t>
      </w:r>
      <w:r>
        <w:t>)=10</w:t>
      </w:r>
      <w:r>
        <w:rPr>
          <w:vertAlign w:val="superscript"/>
        </w:rPr>
        <w:t>-7</w:t>
      </w:r>
      <w:r>
        <w:t xml:space="preserve"> mol·L</w:t>
      </w:r>
      <w:r>
        <w:rPr>
          <w:vertAlign w:val="superscript"/>
        </w:rPr>
        <w:t>-1</w:t>
      </w:r>
      <w:r>
        <w:rPr>
          <w:rFonts w:hint="eastAsia"/>
        </w:rPr>
        <w:t>的溶液</w:t>
      </w:r>
      <w:r>
        <w:t>(</w:t>
      </w:r>
      <w:r>
        <w:rPr>
          <w:rFonts w:hint="eastAsia"/>
        </w:rPr>
        <w:t>　　</w:t>
      </w:r>
      <w:r>
        <w:t>)</w:t>
      </w:r>
    </w:p>
    <w:p>
      <w:pPr>
        <w:spacing w:line="360" w:lineRule="auto"/>
      </w:pPr>
      <w:r>
        <w:t>A.</w:t>
      </w:r>
      <w:r>
        <w:rPr>
          <w:rFonts w:hint="eastAsia"/>
        </w:rPr>
        <w:t>呈酸性　　</w:t>
      </w:r>
      <w:r>
        <w:tab/>
      </w:r>
      <w:r>
        <w:t>B.</w:t>
      </w:r>
      <w:r>
        <w:rPr>
          <w:rFonts w:hint="eastAsia"/>
        </w:rPr>
        <w:t>呈中性　　</w:t>
      </w:r>
    </w:p>
    <w:p>
      <w:pPr>
        <w:spacing w:line="360" w:lineRule="auto"/>
      </w:pPr>
      <w:r>
        <w:t>C.</w:t>
      </w:r>
      <w:r>
        <w:rPr>
          <w:rFonts w:hint="eastAsia"/>
        </w:rPr>
        <w:t>呈碱性　　</w:t>
      </w:r>
      <w:r>
        <w:tab/>
      </w:r>
      <w:r>
        <w:t>D.</w:t>
      </w:r>
      <w:r>
        <w:rPr>
          <w:rFonts w:hint="eastAsia"/>
        </w:rPr>
        <w:t>无法判断</w:t>
      </w:r>
    </w:p>
    <w:p>
      <w:pPr>
        <w:spacing w:line="360" w:lineRule="auto"/>
      </w:pPr>
      <w:r>
        <w:drawing>
          <wp:anchor distT="0" distB="0" distL="114300" distR="114300" simplePos="0" relativeHeight="251659264" behindDoc="0" locked="0" layoutInCell="1" allowOverlap="1">
            <wp:simplePos x="0" y="0"/>
            <wp:positionH relativeFrom="column">
              <wp:posOffset>5466715</wp:posOffset>
            </wp:positionH>
            <wp:positionV relativeFrom="paragraph">
              <wp:posOffset>111760</wp:posOffset>
            </wp:positionV>
            <wp:extent cx="428625" cy="933450"/>
            <wp:effectExtent l="0" t="0" r="9525" b="0"/>
            <wp:wrapSquare wrapText="bothSides"/>
            <wp:docPr id="1" name="Picture 50" descr="学科网(www.zxxk.com)--教育资源门户，提供试卷、教案、课件、论文、素材及各类教学资源下载，还有大量而丰富的教学相关资讯！"/>
            <wp:cNvGraphicFramePr/>
            <a:graphic xmlns:a="http://schemas.openxmlformats.org/drawingml/2006/main">
              <a:graphicData uri="http://schemas.openxmlformats.org/drawingml/2006/picture">
                <pic:pic xmlns:pic="http://schemas.openxmlformats.org/drawingml/2006/picture">
                  <pic:nvPicPr>
                    <pic:cNvPr id="1" name="Picture 50" descr="学科网(www.zxxk.com)--教育资源门户，提供试卷、教案、课件、论文、素材及各类教学资源下载，还有大量而丰富的教学相关资讯！"/>
                    <pic:cNvPicPr/>
                  </pic:nvPicPr>
                  <pic:blipFill>
                    <a:blip r:embed="rId5" cstate="print">
                      <a:extLst>
                        <a:ext uri="{BEBA8EAE-BF5A-486C-A8C5-ECC9F3942E4B}">
                          <a14:imgProps xmlns:a14="http://schemas.microsoft.com/office/drawing/2010/main">
                            <a14:imgLayer r:embed="rId6">
                              <a14:imgEffect>
                                <a14:brightnessContrast contrast="20000"/>
                              </a14:imgEffect>
                            </a14:imgLayer>
                          </a14:imgProps>
                        </a:ext>
                        <a:ext uri="{28A0092B-C50C-407E-A947-70E740481C1C}">
                          <a14:useLocalDpi xmlns:a14="http://schemas.microsoft.com/office/drawing/2010/main" val="0"/>
                        </a:ext>
                      </a:extLst>
                    </a:blip>
                    <a:srcRect/>
                    <a:stretch>
                      <a:fillRect/>
                    </a:stretch>
                  </pic:blipFill>
                  <pic:spPr>
                    <a:xfrm>
                      <a:off x="0" y="0"/>
                      <a:ext cx="428625" cy="933450"/>
                    </a:xfrm>
                    <a:prstGeom prst="rect">
                      <a:avLst/>
                    </a:prstGeom>
                    <a:noFill/>
                    <a:ln w="9525">
                      <a:noFill/>
                      <a:miter lim="800000"/>
                      <a:headEnd/>
                      <a:tailEnd/>
                    </a:ln>
                  </pic:spPr>
                </pic:pic>
              </a:graphicData>
            </a:graphic>
          </wp:anchor>
        </w:drawing>
      </w:r>
      <w:r>
        <w:rPr>
          <w:rFonts w:hint="eastAsia"/>
        </w:rPr>
        <w:t>例</w:t>
      </w:r>
      <w:r>
        <w:t>3</w:t>
      </w:r>
      <w:r>
        <w:rPr>
          <w:rFonts w:hint="eastAsia"/>
        </w:rPr>
        <w:t>：某学生为测定未知浓度的稀盐酸，用</w:t>
      </w:r>
      <w:r>
        <w:t>0.1026 mol/L</w:t>
      </w:r>
      <w:r>
        <w:rPr>
          <w:rFonts w:hint="eastAsia"/>
        </w:rPr>
        <w:t>的</w:t>
      </w:r>
      <w:r>
        <w:t>NaOH</w:t>
      </w:r>
      <w:r>
        <w:rPr>
          <w:rFonts w:hint="eastAsia"/>
        </w:rPr>
        <w:t>溶液滴定</w:t>
      </w:r>
      <w:r>
        <w:t>25.00 mL</w:t>
      </w:r>
      <w:r>
        <w:rPr>
          <w:rFonts w:hint="eastAsia"/>
        </w:rPr>
        <w:t>该稀盐酸，滴定达终点时消耗</w:t>
      </w:r>
      <w:r>
        <w:t>NaOH</w:t>
      </w:r>
      <w:r>
        <w:rPr>
          <w:rFonts w:hint="eastAsia"/>
        </w:rPr>
        <w:t>溶液的体积如图所示，该盐酸的浓度为</w:t>
      </w:r>
      <w:r>
        <w:rPr>
          <w:rFonts w:hint="eastAsia"/>
          <w:u w:val="single"/>
        </w:rPr>
        <w:t xml:space="preserve">           </w:t>
      </w:r>
      <w:r>
        <w:t xml:space="preserve"> </w:t>
      </w:r>
      <w:r>
        <w:rPr>
          <w:rFonts w:hint="eastAsia"/>
        </w:rPr>
        <w:t>；</w:t>
      </w:r>
      <w:r>
        <w:t xml:space="preserve">      </w:t>
      </w:r>
    </w:p>
    <w:p>
      <w:pPr>
        <w:spacing w:line="360" w:lineRule="auto"/>
      </w:pPr>
      <w:r>
        <w:rPr>
          <w:rFonts w:hint="eastAsia"/>
        </w:rPr>
        <w:t>下列操作可能对滴定结果的影响（填</w:t>
      </w:r>
      <w:r>
        <w:t>“</w:t>
      </w:r>
      <w:r>
        <w:rPr>
          <w:rFonts w:hint="eastAsia"/>
        </w:rPr>
        <w:t>偏小</w:t>
      </w:r>
      <w:r>
        <w:t>”</w:t>
      </w:r>
      <w:r>
        <w:rPr>
          <w:rFonts w:hint="eastAsia"/>
        </w:rPr>
        <w:t>、</w:t>
      </w:r>
      <w:r>
        <w:t>“</w:t>
      </w:r>
      <w:r>
        <w:rPr>
          <w:rFonts w:hint="eastAsia"/>
        </w:rPr>
        <w:t>偏大</w:t>
      </w:r>
      <w:r>
        <w:t>”</w:t>
      </w:r>
      <w:r>
        <w:rPr>
          <w:rFonts w:hint="eastAsia"/>
        </w:rPr>
        <w:t>或</w:t>
      </w:r>
      <w:r>
        <w:t>“</w:t>
      </w:r>
      <w:r>
        <w:rPr>
          <w:rFonts w:hint="eastAsia"/>
        </w:rPr>
        <w:t>无影响</w:t>
      </w:r>
      <w:r>
        <w:t>”</w:t>
      </w:r>
      <w:r>
        <w:rPr>
          <w:rFonts w:hint="eastAsia"/>
        </w:rPr>
        <w:t>）</w:t>
      </w:r>
    </w:p>
    <w:p>
      <w:pPr>
        <w:spacing w:line="360" w:lineRule="auto"/>
      </w:pPr>
      <w:r>
        <w:rPr>
          <w:rFonts w:hint="eastAsia"/>
        </w:rPr>
        <w:t>①锥形瓶用蒸馏水洗净后，未用标准液润洗，会导致滴定结果</w:t>
      </w:r>
      <w:r>
        <w:rPr>
          <w:u w:val="single"/>
        </w:rPr>
        <w:t xml:space="preserve">          </w:t>
      </w:r>
      <w:r>
        <w:rPr>
          <w:rFonts w:hint="eastAsia"/>
        </w:rPr>
        <w:t>；</w:t>
      </w:r>
    </w:p>
    <w:p>
      <w:pPr>
        <w:spacing w:line="360" w:lineRule="auto"/>
      </w:pPr>
      <w:r>
        <w:rPr>
          <w:rFonts w:hint="eastAsia"/>
        </w:rPr>
        <w:t>②碱式滴定管用蒸馏水洗净后，未用标准液润洗，会导致滴定结果</w:t>
      </w:r>
      <w:r>
        <w:rPr>
          <w:u w:val="single"/>
        </w:rPr>
        <w:t xml:space="preserve">          </w:t>
      </w:r>
      <w:r>
        <w:rPr>
          <w:rFonts w:hint="eastAsia"/>
        </w:rPr>
        <w:t>；</w:t>
      </w:r>
    </w:p>
    <w:p>
      <w:pPr>
        <w:spacing w:line="360" w:lineRule="auto"/>
      </w:pPr>
      <w:r>
        <w:rPr>
          <w:rFonts w:hint="eastAsia"/>
        </w:rPr>
        <w:t>③观察碱式滴定管读数时，滴定后俯视，则结果会导致测得的稀盐酸浓度测定值</w:t>
      </w:r>
      <w:r>
        <w:rPr>
          <w:u w:val="single"/>
        </w:rPr>
        <w:t xml:space="preserve">          </w:t>
      </w:r>
      <w:r>
        <w:rPr>
          <w:rFonts w:hint="eastAsia"/>
        </w:rPr>
        <w:t>；</w:t>
      </w:r>
    </w:p>
    <w:p>
      <w:pPr>
        <w:spacing w:line="360" w:lineRule="auto"/>
      </w:pPr>
      <w:r>
        <w:rPr>
          <w:rFonts w:hint="eastAsia"/>
        </w:rPr>
        <w:t>反馈练习</w:t>
      </w:r>
      <w:r>
        <w:t>3</w:t>
      </w:r>
      <w:r>
        <w:rPr>
          <w:rFonts w:hint="eastAsia"/>
        </w:rPr>
        <w:t>：</w:t>
      </w:r>
    </w:p>
    <w:p>
      <w:pPr>
        <w:spacing w:line="360" w:lineRule="auto"/>
      </w:pPr>
      <w:r>
        <w:rPr>
          <w:rFonts w:hint="eastAsia"/>
        </w:rPr>
        <w:t>为了检测隔夜熟肉中</w:t>
      </w:r>
      <w:r>
        <w:t>NaNO</w:t>
      </w:r>
      <w:r>
        <w:rPr>
          <w:vertAlign w:val="subscript"/>
        </w:rPr>
        <w:t>2</w:t>
      </w:r>
      <w:r>
        <w:rPr>
          <w:rFonts w:hint="eastAsia"/>
        </w:rPr>
        <w:t>的含量</w:t>
      </w:r>
      <w:r>
        <w:t>,</w:t>
      </w:r>
      <w:r>
        <w:rPr>
          <w:rFonts w:hint="eastAsia"/>
        </w:rPr>
        <w:t>某兴趣小组从</w:t>
      </w:r>
      <w:r>
        <w:t>1 000 g</w:t>
      </w:r>
      <w:r>
        <w:rPr>
          <w:rFonts w:hint="eastAsia"/>
        </w:rPr>
        <w:t>隔夜熟肉中提取</w:t>
      </w:r>
      <w:r>
        <w:t>NaNO</w:t>
      </w:r>
      <w:r>
        <w:rPr>
          <w:vertAlign w:val="subscript"/>
        </w:rPr>
        <w:t>3</w:t>
      </w:r>
      <w:r>
        <w:rPr>
          <w:rFonts w:hint="eastAsia"/>
        </w:rPr>
        <w:t>和</w:t>
      </w:r>
      <w:r>
        <w:t>NaNO</w:t>
      </w:r>
      <w:r>
        <w:rPr>
          <w:vertAlign w:val="subscript"/>
        </w:rPr>
        <w:t>2</w:t>
      </w:r>
      <w:r>
        <w:rPr>
          <w:rFonts w:hint="eastAsia"/>
        </w:rPr>
        <w:t>后配成溶液</w:t>
      </w:r>
      <w:r>
        <w:t>,</w:t>
      </w:r>
      <w:r>
        <w:rPr>
          <w:rFonts w:hint="eastAsia"/>
        </w:rPr>
        <w:t>用</w:t>
      </w:r>
      <w:r>
        <w:t>0.005 00 mol·L</w:t>
      </w:r>
      <w:r>
        <w:rPr>
          <w:vertAlign w:val="superscript"/>
        </w:rPr>
        <w:t>-1</w:t>
      </w:r>
      <w:r>
        <w:rPr>
          <w:rFonts w:hint="eastAsia"/>
        </w:rPr>
        <w:t>的高锰酸钾</w:t>
      </w:r>
      <w:r>
        <w:t>(</w:t>
      </w:r>
      <w:r>
        <w:rPr>
          <w:rFonts w:hint="eastAsia"/>
        </w:rPr>
        <w:t>酸性</w:t>
      </w:r>
      <w:r>
        <w:t>)</w:t>
      </w:r>
      <w:r>
        <w:rPr>
          <w:rFonts w:hint="eastAsia"/>
        </w:rPr>
        <w:t>溶液滴定。平行测定三次</w:t>
      </w:r>
      <w:r>
        <w:t>,</w:t>
      </w:r>
      <w:r>
        <w:rPr>
          <w:rFonts w:hint="eastAsia"/>
        </w:rPr>
        <w:t>求出每次</w:t>
      </w:r>
      <w:r>
        <w:t>NaNO</w:t>
      </w:r>
      <w:r>
        <w:rPr>
          <w:vertAlign w:val="subscript"/>
        </w:rPr>
        <w:t>2</w:t>
      </w:r>
      <w:r>
        <w:rPr>
          <w:rFonts w:hint="eastAsia"/>
        </w:rPr>
        <w:t>含量</w:t>
      </w:r>
      <w:r>
        <w:t>,</w:t>
      </w:r>
      <w:r>
        <w:rPr>
          <w:rFonts w:hint="eastAsia"/>
        </w:rPr>
        <w:t>取其平均值。</w:t>
      </w:r>
      <w:r>
        <w:t>(</w:t>
      </w:r>
      <w:r>
        <w:rPr>
          <w:rFonts w:hint="eastAsia"/>
        </w:rPr>
        <w:t>已知</w:t>
      </w:r>
      <w:r>
        <w:t>:2Mn</w:t>
      </w:r>
      <m:oMath>
        <m:sSubSup>
          <m:sSubSupPr>
            <m:ctrlPr>
              <w:rPr>
                <w:rFonts w:ascii="Cambria Math" w:hAnsi="Cambria Math"/>
                <w:i/>
                <w:iCs/>
              </w:rPr>
            </m:ctrlPr>
          </m:sSubSupPr>
          <m:e>
            <m:r>
              <m:rPr>
                <m:sty m:val="p"/>
              </m:rPr>
              <w:rPr>
                <w:rFonts w:ascii="Cambria Math" w:hAnsi="Cambria Math"/>
              </w:rPr>
              <m:t>O</m:t>
            </m:r>
            <m:ctrlPr>
              <w:rPr>
                <w:rFonts w:ascii="Cambria Math" w:hAnsi="Cambria Math"/>
                <w:i/>
                <w:iCs/>
              </w:rPr>
            </m:ctrlPr>
          </m:e>
          <m:sub>
            <m:r>
              <m:rPr>
                <m:sty m:val="p"/>
              </m:rPr>
              <w:rPr>
                <w:rFonts w:ascii="Cambria Math" w:hAnsi="Cambria Math"/>
              </w:rPr>
              <m:t>4</m:t>
            </m:r>
            <m:ctrlPr>
              <w:rPr>
                <w:rFonts w:ascii="Cambria Math" w:hAnsi="Cambria Math"/>
                <w:i/>
                <w:iCs/>
              </w:rPr>
            </m:ctrlPr>
          </m:sub>
          <m:sup>
            <m:r>
              <w:rPr>
                <w:rFonts w:ascii="Cambria Math" w:hAnsi="Cambria Math"/>
              </w:rPr>
              <m:t>-</m:t>
            </m:r>
            <m:ctrlPr>
              <w:rPr>
                <w:rFonts w:ascii="Cambria Math" w:hAnsi="Cambria Math"/>
                <w:i/>
                <w:iCs/>
              </w:rPr>
            </m:ctrlPr>
          </m:sup>
        </m:sSubSup>
      </m:oMath>
      <w:r>
        <w:t>+5N</w:t>
      </w:r>
      <m:oMath>
        <m:sSubSup>
          <m:sSubSupPr>
            <m:ctrlPr>
              <w:rPr>
                <w:rFonts w:ascii="Cambria Math" w:hAnsi="Cambria Math"/>
                <w:i/>
                <w:iCs/>
              </w:rPr>
            </m:ctrlPr>
          </m:sSubSupPr>
          <m:e>
            <m:r>
              <m:rPr>
                <m:sty m:val="p"/>
              </m:rPr>
              <w:rPr>
                <w:rFonts w:ascii="Cambria Math" w:hAnsi="Cambria Math"/>
              </w:rPr>
              <m:t>O</m:t>
            </m:r>
            <m:ctrlPr>
              <w:rPr>
                <w:rFonts w:ascii="Cambria Math" w:hAnsi="Cambria Math"/>
                <w:i/>
                <w:iCs/>
              </w:rPr>
            </m:ctrlPr>
          </m:e>
          <m:sub>
            <m:r>
              <m:rPr>
                <m:sty m:val="p"/>
              </m:rPr>
              <w:rPr>
                <w:rFonts w:ascii="Cambria Math" w:hAnsi="Cambria Math"/>
              </w:rPr>
              <m:t>2</m:t>
            </m:r>
            <m:ctrlPr>
              <w:rPr>
                <w:rFonts w:ascii="Cambria Math" w:hAnsi="Cambria Math"/>
                <w:i/>
                <w:iCs/>
              </w:rPr>
            </m:ctrlPr>
          </m:sub>
          <m:sup>
            <m:r>
              <w:rPr>
                <w:rFonts w:ascii="Cambria Math" w:hAnsi="Cambria Math"/>
              </w:rPr>
              <m:t>-</m:t>
            </m:r>
            <m:ctrlPr>
              <w:rPr>
                <w:rFonts w:ascii="Cambria Math" w:hAnsi="Cambria Math"/>
                <w:i/>
                <w:iCs/>
              </w:rPr>
            </m:ctrlPr>
          </m:sup>
        </m:sSubSup>
      </m:oMath>
      <w:r>
        <w:t>+6H</w:t>
      </w:r>
      <w:r>
        <w:rPr>
          <w:vertAlign w:val="superscript"/>
        </w:rPr>
        <w:t>+</w:t>
      </w:r>
      <w:r>
        <w:t xml:space="preserve"> = 2Mn</w:t>
      </w:r>
      <w:r>
        <w:rPr>
          <w:vertAlign w:val="superscript"/>
        </w:rPr>
        <w:t>2+</w:t>
      </w:r>
      <w:r>
        <w:t>+5N</w:t>
      </w:r>
      <m:oMath>
        <m:sSubSup>
          <m:sSubSupPr>
            <m:ctrlPr>
              <w:rPr>
                <w:rFonts w:ascii="Cambria Math" w:hAnsi="Cambria Math"/>
                <w:i/>
                <w:iCs/>
              </w:rPr>
            </m:ctrlPr>
          </m:sSubSupPr>
          <m:e>
            <m:r>
              <m:rPr>
                <m:sty m:val="p"/>
              </m:rPr>
              <w:rPr>
                <w:rFonts w:ascii="Cambria Math" w:hAnsi="Cambria Math"/>
              </w:rPr>
              <m:t>O</m:t>
            </m:r>
            <m:ctrlPr>
              <w:rPr>
                <w:rFonts w:ascii="Cambria Math" w:hAnsi="Cambria Math"/>
                <w:i/>
                <w:iCs/>
              </w:rPr>
            </m:ctrlPr>
          </m:e>
          <m:sub>
            <m:r>
              <m:rPr>
                <m:sty m:val="p"/>
              </m:rPr>
              <w:rPr>
                <w:rFonts w:ascii="Cambria Math" w:hAnsi="Cambria Math"/>
              </w:rPr>
              <m:t>3</m:t>
            </m:r>
            <m:ctrlPr>
              <w:rPr>
                <w:rFonts w:ascii="Cambria Math" w:hAnsi="Cambria Math"/>
                <w:i/>
                <w:iCs/>
              </w:rPr>
            </m:ctrlPr>
          </m:sub>
          <m:sup>
            <m:r>
              <w:rPr>
                <w:rFonts w:ascii="Cambria Math" w:hAnsi="Cambria Math"/>
              </w:rPr>
              <m:t>-</m:t>
            </m:r>
            <m:ctrlPr>
              <w:rPr>
                <w:rFonts w:ascii="Cambria Math" w:hAnsi="Cambria Math"/>
                <w:i/>
                <w:iCs/>
              </w:rPr>
            </m:ctrlPr>
          </m:sup>
        </m:sSubSup>
      </m:oMath>
      <w:r>
        <w:t>+3H</w:t>
      </w:r>
      <w:r>
        <w:rPr>
          <w:vertAlign w:val="subscript"/>
        </w:rPr>
        <w:t>2</w:t>
      </w:r>
      <w:r>
        <w:t>O) </w:t>
      </w:r>
    </w:p>
    <w:p>
      <w:pPr>
        <w:spacing w:line="360" w:lineRule="auto"/>
      </w:pPr>
      <w:r>
        <w:t>(1)</w:t>
      </w:r>
      <w:r>
        <w:rPr>
          <w:rFonts w:hint="eastAsia"/>
        </w:rPr>
        <w:t>滴定终点的判断依据为</w:t>
      </w:r>
      <w:r>
        <w:rPr>
          <w:rFonts w:hint="eastAsia"/>
          <w:u w:val="single"/>
        </w:rPr>
        <w:t>　　　　　　　　　　　　　　　　　　　　</w:t>
      </w:r>
      <w:r>
        <w:rPr>
          <w:rFonts w:hint="eastAsia"/>
        </w:rPr>
        <w:t>。</w:t>
      </w:r>
      <w:r>
        <w:t> </w:t>
      </w:r>
    </w:p>
    <w:p>
      <w:pPr>
        <w:spacing w:line="360" w:lineRule="auto"/>
        <w:rPr>
          <w:rFonts w:hint="eastAsia"/>
        </w:rPr>
      </w:pPr>
      <w:r>
        <w:t>(2)</w:t>
      </w:r>
      <w:r>
        <w:rPr>
          <w:rFonts w:hint="eastAsia"/>
        </w:rPr>
        <w:t>某次滴定过程中</w:t>
      </w:r>
      <w:r>
        <w:t>,</w:t>
      </w:r>
      <w:r>
        <w:rPr>
          <w:rFonts w:hint="eastAsia"/>
        </w:rPr>
        <w:t>消耗高锰酸钾溶液的体积为</w:t>
      </w:r>
      <w:r>
        <w:t>16.00 mL</w:t>
      </w:r>
      <w:r>
        <w:rPr>
          <w:rFonts w:hint="eastAsia"/>
        </w:rPr>
        <w:t>。则此次求得的</w:t>
      </w:r>
      <w:r>
        <w:t>NaNO</w:t>
      </w:r>
      <w:r>
        <w:rPr>
          <w:vertAlign w:val="subscript"/>
        </w:rPr>
        <w:t>2</w:t>
      </w:r>
      <w:r>
        <w:rPr>
          <w:rFonts w:hint="eastAsia"/>
        </w:rPr>
        <w:t>的含量为</w:t>
      </w:r>
    </w:p>
    <w:p>
      <w:pPr>
        <w:spacing w:line="360" w:lineRule="auto"/>
      </w:pPr>
      <w:r>
        <w:rPr>
          <w:rFonts w:hint="eastAsia"/>
          <w:u w:val="single"/>
        </w:rPr>
        <w:t>　　　</w:t>
      </w:r>
      <w:r>
        <w:t>mg·kg</w:t>
      </w:r>
      <w:r>
        <w:rPr>
          <w:vertAlign w:val="superscript"/>
        </w:rPr>
        <w:t>-1</w:t>
      </w:r>
      <w:r>
        <w:rPr>
          <w:rFonts w:hint="eastAsia"/>
        </w:rPr>
        <w:t>。</w:t>
      </w:r>
    </w:p>
    <w:p>
      <w:pPr>
        <w:spacing w:line="360" w:lineRule="auto"/>
      </w:pPr>
      <w:r>
        <w:rPr>
          <w:rFonts w:hint="eastAsia"/>
        </w:rPr>
        <w:t>反思与小结：</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Math">
    <w:panose1 w:val="02040503050406030204"/>
    <w:charset w:val="00"/>
    <w:family w:val="roman"/>
    <w:pitch w:val="default"/>
    <w:sig w:usb0="E00006FF" w:usb1="420024FF" w:usb2="02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BB7773"/>
    <w:multiLevelType w:val="multilevel"/>
    <w:tmpl w:val="23BB7773"/>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3BB0"/>
    <w:rsid w:val="000571F6"/>
    <w:rsid w:val="00063C52"/>
    <w:rsid w:val="00080FFA"/>
    <w:rsid w:val="00144DAD"/>
    <w:rsid w:val="001A1ABC"/>
    <w:rsid w:val="002F4A5B"/>
    <w:rsid w:val="005C1451"/>
    <w:rsid w:val="006300B4"/>
    <w:rsid w:val="00662B6E"/>
    <w:rsid w:val="007B3BB0"/>
    <w:rsid w:val="008D4BC1"/>
    <w:rsid w:val="00AD4E97"/>
    <w:rsid w:val="00AE0FDC"/>
    <w:rsid w:val="00BA0ABA"/>
    <w:rsid w:val="00E87837"/>
    <w:rsid w:val="00F45E19"/>
    <w:rsid w:val="38071F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uiPriority w:val="99"/>
    <w:rPr>
      <w:sz w:val="18"/>
      <w:szCs w:val="18"/>
    </w:rPr>
  </w:style>
  <w:style w:type="character" w:customStyle="1" w:styleId="8">
    <w:name w:val="页脚 Char"/>
    <w:basedOn w:val="6"/>
    <w:link w:val="3"/>
    <w:qFormat/>
    <w:uiPriority w:val="99"/>
    <w:rPr>
      <w:sz w:val="18"/>
      <w:szCs w:val="18"/>
    </w:rPr>
  </w:style>
  <w:style w:type="paragraph" w:styleId="9">
    <w:name w:val="List Paragraph"/>
    <w:basedOn w:val="1"/>
    <w:qFormat/>
    <w:uiPriority w:val="34"/>
    <w:pPr>
      <w:ind w:firstLine="420" w:firstLineChars="200"/>
    </w:pPr>
  </w:style>
  <w:style w:type="character" w:customStyle="1" w:styleId="10">
    <w:name w:val="批注框文本 Char"/>
    <w:basedOn w:val="6"/>
    <w:link w:val="2"/>
    <w:semiHidden/>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microsoft.com/office/2007/relationships/hdphoto" Target="media/image3.wdp"/><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220</Words>
  <Characters>1258</Characters>
  <Lines>10</Lines>
  <Paragraphs>2</Paragraphs>
  <TotalTime>14</TotalTime>
  <ScaleCrop>false</ScaleCrop>
  <LinksUpToDate>false</LinksUpToDate>
  <CharactersWithSpaces>1476</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2020-04-27T14:36:00Z</dcterms:created>
  <dc:creator>zy</dc:creator>
  <cp:lastModifiedBy>于守丽</cp:lastModifiedBy>
  <dcterms:modified xsi:type="dcterms:W3CDTF">2020-05-13T02:54:51Z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