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hint="eastAsia" w:asciiTheme="minorEastAsia" w:hAnsiTheme="minorEastAsia" w:eastAsiaTheme="minorEastAsia"/>
          <w:b/>
          <w:bCs/>
          <w:color w:val="000000" w:themeColor="text1"/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</w:rPr>
        <w:t xml:space="preserve">高二年级地理第40课时《 从区位原理评价旅游景区》第一课时                    </w:t>
      </w:r>
    </w:p>
    <w:p>
      <w:pPr>
        <w:spacing w:line="340" w:lineRule="exact"/>
        <w:rPr>
          <w:rFonts w:hint="eastAsia" w:asciiTheme="minorEastAsia" w:hAnsiTheme="minorEastAsia" w:eastAsiaTheme="minorEastAsia"/>
          <w:b/>
          <w:bCs/>
          <w:color w:val="000000" w:themeColor="text1"/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</w:rPr>
        <w:t>拓展提升任务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color w:val="auto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下图为ａ城到ｄ城之间的高速公路建设规划示意图。规划设计走向有甲、乙两个方案，经过比较分析，最终选择按乙方案建设，线路总长58.5千米，建设费用31亿元，比甲方案的概算费用多5亿元，长度多7千米。根据图及相关信息，回答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3286125" cy="2266950"/>
            <wp:effectExtent l="0" t="0" r="9525" b="0"/>
            <wp:docPr id="3" name="图片 3" descr="点击查看大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点击查看大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1.图中高速公路建设选择乙方案，其原因可能是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①单位距离建设成本低 ②沿河谷走向自然障碍小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③促进沿线地区城镇发展 ④保护重点风景名胜区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A.①② B.①④ C.②③ D.③④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2.ｃ地建休闲度假地最有利的区位条件是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A.环境承载量大，旅游配套设施好 B.环境优美，旅游配套设施好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C.环境承载量大，交通便捷，靠近市场 D.环境优美，交通便捷，靠近市场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Ansi="宋体" w:cs="Times New Roman"/>
          <w:color w:val="000000"/>
          <w:szCs w:val="24"/>
        </w:rPr>
      </w:pPr>
      <w:r>
        <w:rPr>
          <w:rFonts w:hAnsi="宋体" w:cs="Times New Roman"/>
          <w:color w:val="000000"/>
          <w:szCs w:val="24"/>
        </w:rPr>
        <w:t>2015年以来，海南省加大旅游特区建设力度，旅游转型升级加快，将单一的蓝色、绿色、红色、原色等旅游资源进行整合已成为趋势。读图，完成3～4题。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jc w:val="center"/>
        <w:textAlignment w:val="auto"/>
        <w:rPr>
          <w:rFonts w:hAnsi="宋体" w:cs="Times New Roman"/>
          <w:color w:val="000000"/>
          <w:szCs w:val="24"/>
        </w:rPr>
      </w:pPr>
      <w:r>
        <w:fldChar w:fldCharType="begin"/>
      </w:r>
      <w:r>
        <w:instrText xml:space="preserve"> INCLUDEPICTURE "176DL89.TIF" \* MERGEFORMAT </w:instrText>
      </w:r>
      <w:r>
        <w:fldChar w:fldCharType="separate"/>
      </w:r>
      <w:r>
        <w:rPr>
          <w:rFonts w:hAnsi="宋体" w:cs="Times New Roman"/>
          <w:color w:val="000000"/>
          <w:szCs w:val="24"/>
        </w:rPr>
        <w:drawing>
          <wp:inline distT="0" distB="0" distL="114300" distR="114300">
            <wp:extent cx="1947545" cy="1371600"/>
            <wp:effectExtent l="0" t="0" r="14605" b="0"/>
            <wp:docPr id="2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 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754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Ansi="宋体" w:cs="Times New Roman"/>
          <w:color w:val="000000"/>
          <w:szCs w:val="24"/>
        </w:rPr>
      </w:pPr>
      <w:r>
        <w:rPr>
          <w:rFonts w:hAnsi="宋体" w:cs="Times New Roman"/>
          <w:color w:val="000000"/>
          <w:szCs w:val="24"/>
        </w:rPr>
        <w:t>3．开发海南岛的资源，需要因地制宜、有所侧重。图中甲地带在产业布局上的首要任务是(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Ansi="宋体" w:cs="Times New Roman"/>
          <w:color w:val="000000"/>
          <w:szCs w:val="24"/>
        </w:rPr>
      </w:pPr>
      <w:r>
        <w:rPr>
          <w:rFonts w:hAnsi="宋体" w:cs="Times New Roman"/>
          <w:color w:val="000000"/>
          <w:szCs w:val="24"/>
        </w:rPr>
        <w:t>A．恢复和保护热带森林植被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Ansi="宋体" w:cs="Times New Roman"/>
          <w:color w:val="000000"/>
          <w:szCs w:val="24"/>
        </w:rPr>
      </w:pPr>
      <w:r>
        <w:rPr>
          <w:rFonts w:hAnsi="宋体" w:cs="Times New Roman"/>
          <w:color w:val="000000"/>
          <w:szCs w:val="24"/>
        </w:rPr>
        <w:t>B．利用少数民族风情发展旅游业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Ansi="宋体" w:cs="Times New Roman"/>
          <w:color w:val="000000"/>
          <w:szCs w:val="24"/>
        </w:rPr>
      </w:pPr>
      <w:r>
        <w:rPr>
          <w:rFonts w:hAnsi="宋体" w:cs="Times New Roman"/>
          <w:color w:val="000000"/>
          <w:szCs w:val="24"/>
        </w:rPr>
        <w:t>C．建设山区热带农业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Ansi="宋体" w:cs="Times New Roman"/>
          <w:color w:val="000000"/>
          <w:szCs w:val="24"/>
        </w:rPr>
      </w:pPr>
      <w:r>
        <w:rPr>
          <w:rFonts w:hAnsi="宋体" w:cs="Times New Roman"/>
          <w:color w:val="000000"/>
          <w:szCs w:val="24"/>
        </w:rPr>
        <w:t>D．利用热带山区的自然景观发展旅游业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Ansi="宋体" w:cs="Times New Roman"/>
          <w:color w:val="000000"/>
          <w:szCs w:val="24"/>
        </w:rPr>
      </w:pPr>
      <w:r>
        <w:rPr>
          <w:rFonts w:hAnsi="宋体" w:cs="Times New Roman"/>
          <w:color w:val="000000"/>
          <w:szCs w:val="24"/>
        </w:rPr>
        <w:t>4．海南岛旅游资源开发应突出(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Ansi="宋体" w:cs="Times New Roman"/>
          <w:color w:val="000000"/>
          <w:szCs w:val="24"/>
        </w:rPr>
      </w:pPr>
      <w:r>
        <w:rPr>
          <w:rFonts w:hAnsi="宋体" w:cs="Times New Roman"/>
          <w:color w:val="000000"/>
          <w:szCs w:val="24"/>
        </w:rPr>
        <w:t>①喀斯特地貌　②热带海滨和岛屿风光　③亚热带常绿阔叶林　④少数民族风情特色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Ansi="宋体" w:cs="Times New Roman"/>
          <w:color w:val="000000"/>
          <w:szCs w:val="24"/>
        </w:rPr>
      </w:pPr>
      <w:r>
        <w:rPr>
          <w:rFonts w:hAnsi="宋体" w:cs="Times New Roman"/>
          <w:color w:val="000000"/>
          <w:szCs w:val="24"/>
        </w:rPr>
        <w:t>A．②③  B．①②  C．②④  D．③④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Ansi="宋体" w:cs="Times New Roman"/>
          <w:color w:val="000000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Ansi="宋体" w:cs="Times New Roman"/>
          <w:color w:val="000000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Ansi="宋体" w:cs="Times New Roman"/>
          <w:color w:val="000000"/>
          <w:szCs w:val="24"/>
        </w:rPr>
      </w:pPr>
      <w:r>
        <w:rPr>
          <w:rFonts w:hAnsi="宋体" w:cs="Times New Roman"/>
          <w:color w:val="000000"/>
          <w:szCs w:val="24"/>
        </w:rPr>
        <w:t>为实现永续发展目标，我国许多自然风景区就门票价格召开听证会。有一风景区拟全年开放，经营上须符合以下条件：每日游客平均不超过4 000人，以及年营业收入最少应比年维护成本1.5亿元多20%才能维持正常运营。下表为此风景区预估门票定价与游客人数关系表，读表回答5～6题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505"/>
        <w:gridCol w:w="2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Ansi="宋体" w:cs="Times New Roman"/>
                <w:color w:val="000000"/>
                <w:szCs w:val="24"/>
              </w:rPr>
            </w:pPr>
            <w:r>
              <w:rPr>
                <w:rFonts w:hAnsi="宋体" w:cs="Times New Roman"/>
                <w:color w:val="000000"/>
                <w:szCs w:val="24"/>
              </w:rPr>
              <w:t>定价方案</w:t>
            </w:r>
          </w:p>
        </w:tc>
        <w:tc>
          <w:tcPr>
            <w:tcW w:w="1505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Ansi="宋体" w:cs="Times New Roman"/>
                <w:color w:val="000000"/>
                <w:szCs w:val="24"/>
              </w:rPr>
            </w:pPr>
            <w:r>
              <w:rPr>
                <w:rFonts w:hAnsi="宋体" w:cs="Times New Roman"/>
                <w:color w:val="000000"/>
                <w:szCs w:val="24"/>
              </w:rPr>
              <w:t>门票价格/元</w:t>
            </w:r>
          </w:p>
        </w:tc>
        <w:tc>
          <w:tcPr>
            <w:tcW w:w="2613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Ansi="宋体" w:cs="Times New Roman"/>
                <w:color w:val="000000"/>
                <w:szCs w:val="24"/>
              </w:rPr>
            </w:pPr>
            <w:r>
              <w:rPr>
                <w:rFonts w:hAnsi="宋体" w:cs="Times New Roman"/>
                <w:color w:val="000000"/>
                <w:szCs w:val="24"/>
              </w:rPr>
              <w:t>游客人数/(万人次/年)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Ansi="宋体" w:cs="Times New Roman"/>
                <w:color w:val="000000"/>
                <w:szCs w:val="24"/>
              </w:rPr>
            </w:pPr>
            <w:r>
              <w:rPr>
                <w:rFonts w:hAnsi="宋体" w:cs="Times New Roman"/>
                <w:color w:val="000000"/>
                <w:szCs w:val="24"/>
              </w:rPr>
              <w:t>甲</w:t>
            </w:r>
          </w:p>
        </w:tc>
        <w:tc>
          <w:tcPr>
            <w:tcW w:w="1505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Ansi="宋体" w:cs="Times New Roman"/>
                <w:color w:val="000000"/>
                <w:szCs w:val="24"/>
              </w:rPr>
            </w:pPr>
            <w:r>
              <w:rPr>
                <w:rFonts w:hAnsi="宋体" w:cs="Times New Roman"/>
                <w:color w:val="000000"/>
                <w:szCs w:val="24"/>
              </w:rPr>
              <w:t>100</w:t>
            </w:r>
          </w:p>
        </w:tc>
        <w:tc>
          <w:tcPr>
            <w:tcW w:w="2613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Ansi="宋体" w:cs="Times New Roman"/>
                <w:color w:val="000000"/>
                <w:szCs w:val="24"/>
              </w:rPr>
            </w:pPr>
            <w:r>
              <w:rPr>
                <w:rFonts w:hAnsi="宋体" w:cs="Times New Roman"/>
                <w:color w:val="000000"/>
                <w:szCs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Ansi="宋体" w:cs="Times New Roman"/>
                <w:color w:val="000000"/>
                <w:szCs w:val="24"/>
              </w:rPr>
            </w:pPr>
            <w:r>
              <w:rPr>
                <w:rFonts w:hAnsi="宋体" w:cs="Times New Roman"/>
                <w:color w:val="000000"/>
                <w:szCs w:val="24"/>
              </w:rPr>
              <w:t>乙</w:t>
            </w:r>
          </w:p>
        </w:tc>
        <w:tc>
          <w:tcPr>
            <w:tcW w:w="1505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Ansi="宋体" w:cs="Times New Roman"/>
                <w:color w:val="000000"/>
                <w:szCs w:val="24"/>
              </w:rPr>
            </w:pPr>
            <w:r>
              <w:rPr>
                <w:rFonts w:hAnsi="宋体" w:cs="Times New Roman"/>
                <w:color w:val="000000"/>
                <w:szCs w:val="24"/>
              </w:rPr>
              <w:t>150</w:t>
            </w:r>
          </w:p>
        </w:tc>
        <w:tc>
          <w:tcPr>
            <w:tcW w:w="2613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Ansi="宋体" w:cs="Times New Roman"/>
                <w:color w:val="000000"/>
                <w:szCs w:val="24"/>
              </w:rPr>
            </w:pPr>
            <w:r>
              <w:rPr>
                <w:rFonts w:hAnsi="宋体" w:cs="Times New Roman"/>
                <w:color w:val="000000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Ansi="宋体" w:cs="Times New Roman"/>
                <w:color w:val="000000"/>
                <w:szCs w:val="24"/>
              </w:rPr>
            </w:pPr>
            <w:r>
              <w:rPr>
                <w:rFonts w:hAnsi="宋体" w:cs="Times New Roman"/>
                <w:color w:val="000000"/>
                <w:szCs w:val="24"/>
              </w:rPr>
              <w:t>丙</w:t>
            </w:r>
          </w:p>
        </w:tc>
        <w:tc>
          <w:tcPr>
            <w:tcW w:w="1505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Ansi="宋体" w:cs="Times New Roman"/>
                <w:color w:val="000000"/>
                <w:szCs w:val="24"/>
              </w:rPr>
            </w:pPr>
            <w:r>
              <w:rPr>
                <w:rFonts w:hAnsi="宋体" w:cs="Times New Roman"/>
                <w:color w:val="000000"/>
                <w:szCs w:val="24"/>
              </w:rPr>
              <w:t>200</w:t>
            </w:r>
          </w:p>
        </w:tc>
        <w:tc>
          <w:tcPr>
            <w:tcW w:w="2613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Ansi="宋体" w:cs="Times New Roman"/>
                <w:color w:val="000000"/>
                <w:szCs w:val="24"/>
              </w:rPr>
            </w:pPr>
            <w:r>
              <w:rPr>
                <w:rFonts w:hAnsi="宋体" w:cs="Times New Roman"/>
                <w:color w:val="000000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Ansi="宋体" w:cs="Times New Roman"/>
                <w:color w:val="000000"/>
                <w:szCs w:val="24"/>
              </w:rPr>
            </w:pPr>
            <w:r>
              <w:rPr>
                <w:rFonts w:hAnsi="宋体" w:cs="Times New Roman"/>
                <w:color w:val="000000"/>
                <w:szCs w:val="24"/>
              </w:rPr>
              <w:t>丁</w:t>
            </w:r>
          </w:p>
        </w:tc>
        <w:tc>
          <w:tcPr>
            <w:tcW w:w="1505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Ansi="宋体" w:cs="Times New Roman"/>
                <w:color w:val="000000"/>
                <w:szCs w:val="24"/>
              </w:rPr>
            </w:pPr>
            <w:r>
              <w:rPr>
                <w:rFonts w:hAnsi="宋体" w:cs="Times New Roman"/>
                <w:color w:val="000000"/>
                <w:szCs w:val="24"/>
              </w:rPr>
              <w:t>250</w:t>
            </w:r>
          </w:p>
        </w:tc>
        <w:tc>
          <w:tcPr>
            <w:tcW w:w="2613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Ansi="宋体" w:cs="Times New Roman"/>
                <w:color w:val="000000"/>
                <w:szCs w:val="24"/>
              </w:rPr>
            </w:pPr>
            <w:r>
              <w:rPr>
                <w:rFonts w:hAnsi="宋体" w:cs="Times New Roman"/>
                <w:color w:val="000000"/>
                <w:szCs w:val="24"/>
              </w:rPr>
              <w:t>50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Ansi="宋体" w:cs="Times New Roman"/>
          <w:color w:val="000000"/>
          <w:szCs w:val="24"/>
        </w:rPr>
      </w:pPr>
      <w:r>
        <w:rPr>
          <w:rFonts w:hAnsi="宋体" w:cs="Times New Roman"/>
          <w:color w:val="000000"/>
          <w:szCs w:val="24"/>
        </w:rPr>
        <w:t>5．若门票为唯一的收入来源，则听证会选择的门票定价是表中的哪个方案(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Ansi="宋体" w:cs="Times New Roman"/>
          <w:color w:val="000000"/>
          <w:szCs w:val="24"/>
        </w:rPr>
      </w:pPr>
      <w:r>
        <w:rPr>
          <w:rFonts w:hAnsi="宋体" w:cs="Times New Roman"/>
          <w:color w:val="000000"/>
          <w:szCs w:val="24"/>
        </w:rPr>
        <w:t>A．甲  B．乙  C．丙  D．丁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Ansi="宋体" w:cs="Times New Roman"/>
          <w:color w:val="000000"/>
          <w:szCs w:val="24"/>
        </w:rPr>
      </w:pPr>
      <w:r>
        <w:rPr>
          <w:rFonts w:hAnsi="宋体" w:cs="Times New Roman"/>
          <w:color w:val="000000"/>
          <w:szCs w:val="24"/>
        </w:rPr>
        <w:t>6．我国九寨沟、张家界等自然风景区内没有规划付费游乐设施，其最可能考虑的是(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Ansi="宋体" w:cs="Times New Roman"/>
          <w:color w:val="000000"/>
          <w:szCs w:val="24"/>
        </w:rPr>
      </w:pPr>
      <w:r>
        <w:rPr>
          <w:rFonts w:hAnsi="宋体" w:cs="Times New Roman"/>
          <w:color w:val="000000"/>
          <w:szCs w:val="24"/>
        </w:rPr>
        <w:t>①地处偏僻，员工不足　②游乐活动过多，环境污染增加　③收入不敷建设成本　④降低景观欣赏价值　⑤人工设施易破坏生态环境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Ansi="宋体" w:cs="Times New Roman"/>
          <w:color w:val="000000"/>
          <w:szCs w:val="24"/>
        </w:rPr>
      </w:pPr>
      <w:r>
        <w:rPr>
          <w:rFonts w:hAnsi="宋体" w:cs="Times New Roman"/>
          <w:color w:val="000000"/>
          <w:szCs w:val="24"/>
        </w:rPr>
        <w:t>A．①②③  B．①③⑤  C．②③⑤  D．②④⑤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Ansi="宋体" w:cs="Times New Roman"/>
          <w:color w:val="000000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Ansi="宋体" w:cs="Times New Roman"/>
          <w:color w:val="000000"/>
          <w:szCs w:val="24"/>
        </w:rPr>
      </w:pPr>
      <w:r>
        <w:rPr>
          <w:rFonts w:hAnsi="宋体" w:cs="Times New Roman"/>
          <w:color w:val="000000"/>
          <w:szCs w:val="24"/>
        </w:rPr>
        <w:t>二、综合题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Ansi="宋体" w:cs="Times New Roman"/>
          <w:color w:val="000000"/>
          <w:szCs w:val="24"/>
        </w:rPr>
      </w:pPr>
      <w:r>
        <w:rPr>
          <w:rFonts w:hAnsi="宋体" w:cs="Times New Roman"/>
          <w:color w:val="000000"/>
          <w:szCs w:val="24"/>
        </w:rPr>
        <w:t>7．阅读图文资料，完成下列各题。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Ansi="宋体" w:cs="Times New Roman"/>
          <w:color w:val="000000"/>
          <w:szCs w:val="24"/>
        </w:rPr>
      </w:pPr>
      <w:r>
        <w:rPr>
          <w:rFonts w:hAnsi="宋体" w:cs="Times New Roman"/>
          <w:color w:val="000000"/>
          <w:szCs w:val="24"/>
        </w:rPr>
        <w:t>某古村落是黄山脚下一个著名的旅游点。目前，旅行社设计的古村落游览线路主要涵盖了村落的一部分，线路上分布有饭店、旅馆，以及手工艺雕刻、茶叶、古董等商铺。其实，村落另一部分还有更具特色的名人故居、田园风光，由于这些景点没有纳入游览线路，这里的街巷年久失修，居民家庭主要经济来源仍然是劳务输出和种植业。下图为皖南某古村落旅游景点分布和游览线路图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jc w:val="center"/>
        <w:textAlignment w:val="auto"/>
        <w:rPr>
          <w:rFonts w:hAnsi="宋体" w:cs="Times New Roman"/>
          <w:color w:val="000000"/>
          <w:szCs w:val="24"/>
        </w:rPr>
      </w:pPr>
      <w:r>
        <w:fldChar w:fldCharType="begin"/>
      </w:r>
      <w:r>
        <w:instrText xml:space="preserve"> INCLUDEPICTURE "176DL90.TIF" \* MERGEFORMAT </w:instrText>
      </w:r>
      <w:r>
        <w:fldChar w:fldCharType="separate"/>
      </w:r>
      <w:r>
        <w:rPr>
          <w:rFonts w:hAnsi="宋体" w:cs="Times New Roman"/>
          <w:color w:val="000000"/>
          <w:szCs w:val="24"/>
        </w:rPr>
        <w:drawing>
          <wp:inline distT="0" distB="0" distL="114300" distR="114300">
            <wp:extent cx="3609340" cy="1819275"/>
            <wp:effectExtent l="0" t="0" r="10160" b="9525"/>
            <wp:docPr id="1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 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Ansi="宋体" w:cs="Times New Roman"/>
          <w:color w:val="000000"/>
          <w:szCs w:val="24"/>
        </w:rPr>
      </w:pPr>
      <w:r>
        <w:rPr>
          <w:rFonts w:hAnsi="宋体" w:cs="Times New Roman"/>
          <w:color w:val="000000"/>
          <w:szCs w:val="24"/>
        </w:rPr>
        <w:t>(1)根据图文资料，分析该古村落原游览线路存在的问题。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Ansi="宋体" w:cs="Times New Roman"/>
          <w:color w:val="000000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Ansi="宋体" w:cs="Times New Roman"/>
          <w:color w:val="000000"/>
          <w:szCs w:val="24"/>
        </w:rPr>
      </w:pPr>
      <w:r>
        <w:rPr>
          <w:rFonts w:hAnsi="宋体" w:cs="Times New Roman"/>
          <w:color w:val="000000"/>
          <w:szCs w:val="24"/>
        </w:rPr>
        <w:t>(2)针对原游览线路存在的问题，有关部门重新设计了一条新游览线路(见图)。根据旅游资源开发需要“促进区域经济发展”的原则，阐述新游览线路的意义。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Ansi="宋体" w:cs="Times New Roman"/>
          <w:color w:val="000000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Ansi="宋体" w:cs="Times New Roman"/>
          <w:color w:val="000000"/>
          <w:szCs w:val="24"/>
        </w:rPr>
      </w:pPr>
      <w:bookmarkStart w:id="0" w:name="_GoBack"/>
      <w:bookmarkEnd w:id="0"/>
      <w:r>
        <w:rPr>
          <w:rFonts w:hAnsi="宋体" w:cs="Times New Roman"/>
          <w:color w:val="000000"/>
          <w:szCs w:val="24"/>
        </w:rPr>
        <w:t>(3)根据旅游资源开发“空间结构合理”的原则中“配套设施齐全”的要求，分析新游览线路存在的问题，并提出解决这些问题的相应措施。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85" w:firstLineChars="0"/>
        <w:jc w:val="left"/>
        <w:textAlignment w:val="auto"/>
        <w:rPr>
          <w:rFonts w:hint="eastAsia"/>
          <w:lang w:val="en-US" w:eastAsia="zh-CN"/>
        </w:rPr>
      </w:pPr>
    </w:p>
    <w:sectPr>
      <w:footerReference r:id="rId3" w:type="default"/>
      <w:footerReference r:id="rId4" w:type="even"/>
      <w:pgSz w:w="10319" w:h="14571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93AF0"/>
    <w:rsid w:val="0001116D"/>
    <w:rsid w:val="000140FB"/>
    <w:rsid w:val="0002087E"/>
    <w:rsid w:val="0003745D"/>
    <w:rsid w:val="00043CDD"/>
    <w:rsid w:val="00047C84"/>
    <w:rsid w:val="000628AD"/>
    <w:rsid w:val="000A2B9A"/>
    <w:rsid w:val="000A6F6B"/>
    <w:rsid w:val="000C014C"/>
    <w:rsid w:val="000D3A1C"/>
    <w:rsid w:val="000E284F"/>
    <w:rsid w:val="00101FE0"/>
    <w:rsid w:val="00121A38"/>
    <w:rsid w:val="00134764"/>
    <w:rsid w:val="00187FFC"/>
    <w:rsid w:val="00190A25"/>
    <w:rsid w:val="00190EC4"/>
    <w:rsid w:val="001E1326"/>
    <w:rsid w:val="00213AFD"/>
    <w:rsid w:val="00286E13"/>
    <w:rsid w:val="002A74A4"/>
    <w:rsid w:val="002C1648"/>
    <w:rsid w:val="00310DDF"/>
    <w:rsid w:val="00315CDF"/>
    <w:rsid w:val="00323B43"/>
    <w:rsid w:val="00353555"/>
    <w:rsid w:val="003812A5"/>
    <w:rsid w:val="003911D2"/>
    <w:rsid w:val="003944D7"/>
    <w:rsid w:val="00397243"/>
    <w:rsid w:val="003A4709"/>
    <w:rsid w:val="003C22BC"/>
    <w:rsid w:val="003C3CB0"/>
    <w:rsid w:val="003D37D8"/>
    <w:rsid w:val="003F6F88"/>
    <w:rsid w:val="004358A0"/>
    <w:rsid w:val="004358AB"/>
    <w:rsid w:val="00446C1E"/>
    <w:rsid w:val="00473637"/>
    <w:rsid w:val="0049601B"/>
    <w:rsid w:val="004B0A6F"/>
    <w:rsid w:val="004E1BEC"/>
    <w:rsid w:val="005077C6"/>
    <w:rsid w:val="00512B62"/>
    <w:rsid w:val="005331C1"/>
    <w:rsid w:val="005348DE"/>
    <w:rsid w:val="0053798B"/>
    <w:rsid w:val="00542206"/>
    <w:rsid w:val="005647D0"/>
    <w:rsid w:val="005B0AA4"/>
    <w:rsid w:val="005C7B45"/>
    <w:rsid w:val="005F0E95"/>
    <w:rsid w:val="00607996"/>
    <w:rsid w:val="0063617E"/>
    <w:rsid w:val="006418EC"/>
    <w:rsid w:val="0065113B"/>
    <w:rsid w:val="00676914"/>
    <w:rsid w:val="00690C59"/>
    <w:rsid w:val="006A0A33"/>
    <w:rsid w:val="006C4FC9"/>
    <w:rsid w:val="006D0540"/>
    <w:rsid w:val="006E1B89"/>
    <w:rsid w:val="00715B5A"/>
    <w:rsid w:val="007502D5"/>
    <w:rsid w:val="0075056F"/>
    <w:rsid w:val="00770804"/>
    <w:rsid w:val="00772E03"/>
    <w:rsid w:val="00783D7F"/>
    <w:rsid w:val="00797D89"/>
    <w:rsid w:val="007A0B17"/>
    <w:rsid w:val="007B762D"/>
    <w:rsid w:val="00840777"/>
    <w:rsid w:val="008840C0"/>
    <w:rsid w:val="008B7726"/>
    <w:rsid w:val="008C60B2"/>
    <w:rsid w:val="008D154C"/>
    <w:rsid w:val="00903A6C"/>
    <w:rsid w:val="00903EF5"/>
    <w:rsid w:val="00913994"/>
    <w:rsid w:val="00935227"/>
    <w:rsid w:val="0094652B"/>
    <w:rsid w:val="009906B0"/>
    <w:rsid w:val="009B3AB5"/>
    <w:rsid w:val="009B5C00"/>
    <w:rsid w:val="00A118A0"/>
    <w:rsid w:val="00A179E9"/>
    <w:rsid w:val="00A26D2B"/>
    <w:rsid w:val="00A4201A"/>
    <w:rsid w:val="00A95F33"/>
    <w:rsid w:val="00AB3739"/>
    <w:rsid w:val="00AB6B56"/>
    <w:rsid w:val="00AF2681"/>
    <w:rsid w:val="00B17008"/>
    <w:rsid w:val="00B24058"/>
    <w:rsid w:val="00B35A34"/>
    <w:rsid w:val="00B37425"/>
    <w:rsid w:val="00B441EF"/>
    <w:rsid w:val="00B44D7F"/>
    <w:rsid w:val="00BA0477"/>
    <w:rsid w:val="00BB6106"/>
    <w:rsid w:val="00BE36F4"/>
    <w:rsid w:val="00BF0D32"/>
    <w:rsid w:val="00C3140A"/>
    <w:rsid w:val="00C33DC6"/>
    <w:rsid w:val="00C908FB"/>
    <w:rsid w:val="00CB10F3"/>
    <w:rsid w:val="00CE0BC6"/>
    <w:rsid w:val="00CF674A"/>
    <w:rsid w:val="00CF7097"/>
    <w:rsid w:val="00CF7E14"/>
    <w:rsid w:val="00D00149"/>
    <w:rsid w:val="00D20633"/>
    <w:rsid w:val="00D229E7"/>
    <w:rsid w:val="00D46E0B"/>
    <w:rsid w:val="00D56294"/>
    <w:rsid w:val="00D84401"/>
    <w:rsid w:val="00DA5571"/>
    <w:rsid w:val="00DB5373"/>
    <w:rsid w:val="00DE269E"/>
    <w:rsid w:val="00DF033C"/>
    <w:rsid w:val="00E3323D"/>
    <w:rsid w:val="00E34C1F"/>
    <w:rsid w:val="00E841AE"/>
    <w:rsid w:val="00E8493A"/>
    <w:rsid w:val="00E96E74"/>
    <w:rsid w:val="00EC2EFC"/>
    <w:rsid w:val="00EF1A4D"/>
    <w:rsid w:val="00EF4528"/>
    <w:rsid w:val="00EF6073"/>
    <w:rsid w:val="00F13E93"/>
    <w:rsid w:val="00F801FB"/>
    <w:rsid w:val="00F82134"/>
    <w:rsid w:val="00F93AF0"/>
    <w:rsid w:val="00F97B41"/>
    <w:rsid w:val="00FD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" w:semiHidden="0" w:name="heading 1"/>
    <w:lsdException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4"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paragraph" w:styleId="11">
    <w:name w:val="List Paragraph"/>
    <w:basedOn w:val="1"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2">
    <w:name w:val="Normal_11"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customStyle="1" w:styleId="13">
    <w:name w:val="Normal_10"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customStyle="1" w:styleId="14">
    <w:name w:val="Normal_8"/>
    <w:qFormat/>
    <w:uiPriority w:val="0"/>
    <w:pPr>
      <w:jc w:val="both"/>
    </w:pPr>
    <w:rPr>
      <w:rFonts w:cs="Times New Roman" w:asciiTheme="minorEastAsia" w:hAnsiTheme="minorEastAsia" w:eastAsiaTheme="minorEastAsia"/>
      <w:color w:val="000000" w:themeColor="text1"/>
      <w:sz w:val="21"/>
      <w:szCs w:val="22"/>
      <w:lang w:val="en-US" w:eastAsia="en-US" w:bidi="ar-SA"/>
    </w:rPr>
  </w:style>
  <w:style w:type="paragraph" w:customStyle="1" w:styleId="15">
    <w:name w:val="楷体"/>
    <w:basedOn w:val="1"/>
    <w:qFormat/>
    <w:uiPriority w:val="0"/>
    <w:pPr>
      <w:autoSpaceDE w:val="0"/>
      <w:autoSpaceDN w:val="0"/>
      <w:spacing w:line="320" w:lineRule="atLeast"/>
      <w:ind w:firstLine="425"/>
      <w:textAlignment w:val="center"/>
    </w:pPr>
    <w:rPr>
      <w:rFonts w:ascii="楷体_GB2312" w:eastAsia="楷体_GB2312" w:cs="楷体_GB2312" w:hAnsiTheme="minorHAnsi"/>
      <w:color w:val="000000"/>
      <w:sz w:val="20"/>
      <w:szCs w:val="20"/>
      <w:lang w:val="zh-CN"/>
    </w:rPr>
  </w:style>
  <w:style w:type="paragraph" w:customStyle="1" w:styleId="16">
    <w:name w:val="大标题"/>
    <w:basedOn w:val="1"/>
    <w:qFormat/>
    <w:uiPriority w:val="99"/>
    <w:pPr>
      <w:autoSpaceDE w:val="0"/>
      <w:autoSpaceDN w:val="0"/>
      <w:spacing w:line="540" w:lineRule="atLeast"/>
      <w:textAlignment w:val="center"/>
    </w:pPr>
    <w:rPr>
      <w:rFonts w:ascii="黑体" w:eastAsia="黑体" w:cs="黑体" w:hAnsiTheme="minorHAnsi"/>
      <w:color w:val="000000"/>
      <w:sz w:val="36"/>
      <w:szCs w:val="36"/>
      <w:lang w:val="zh-CN"/>
    </w:rPr>
  </w:style>
  <w:style w:type="paragraph" w:customStyle="1" w:styleId="17">
    <w:name w:val="正文 缩进"/>
    <w:basedOn w:val="15"/>
    <w:qFormat/>
    <w:uiPriority w:val="99"/>
    <w:rPr>
      <w:rFonts w:ascii="宋体" w:eastAsia="宋体" w:cs="宋体"/>
    </w:rPr>
  </w:style>
  <w:style w:type="paragraph" w:customStyle="1" w:styleId="18">
    <w:name w:val="正文 不缩进"/>
    <w:basedOn w:val="15"/>
    <w:qFormat/>
    <w:uiPriority w:val="99"/>
    <w:pPr>
      <w:ind w:firstLine="0"/>
    </w:pPr>
    <w:rPr>
      <w:rFonts w:ascii="宋体" w:eastAsia="宋体" w:cs="宋体"/>
    </w:rPr>
  </w:style>
  <w:style w:type="character" w:customStyle="1" w:styleId="19">
    <w:name w:val="页脚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0">
    <w:name w:val="页眉 Char"/>
    <w:basedOn w:val="8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1">
    <w:name w:val="Normal_0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3"/>
      <w:szCs w:val="22"/>
      <w:lang w:val="en-US" w:eastAsia="zh-CN" w:bidi="ar-SA"/>
    </w:rPr>
  </w:style>
  <w:style w:type="character" w:customStyle="1" w:styleId="22">
    <w:name w:val="批注框文本 Char"/>
    <w:basedOn w:val="8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3">
    <w:name w:val="纯文本 Char"/>
    <w:basedOn w:val="8"/>
    <w:link w:val="2"/>
    <w:qFormat/>
    <w:locked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24">
    <w:name w:val="纯文本 Char1"/>
    <w:basedOn w:val="8"/>
    <w:link w:val="2"/>
    <w:semiHidden/>
    <w:qFormat/>
    <w:uiPriority w:val="99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176DL89.TIF" TargetMode="External"/><Relationship Id="rId7" Type="http://schemas.openxmlformats.org/officeDocument/2006/relationships/image" Target="media/image2.png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176DL90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</Words>
  <Characters>828</Characters>
  <Lines>6</Lines>
  <Paragraphs>1</Paragraphs>
  <TotalTime>13</TotalTime>
  <ScaleCrop>false</ScaleCrop>
  <LinksUpToDate>false</LinksUpToDate>
  <CharactersWithSpaces>972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2020-02-19T08:33:00Z</dcterms:created>
  <dc:creator>XZJD</dc:creator>
  <cp:lastModifiedBy>摩诘</cp:lastModifiedBy>
  <dcterms:modified xsi:type="dcterms:W3CDTF">2020-03-17T17:34:20Z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