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仿宋"/>
          <w:b/>
          <w:sz w:val="28"/>
          <w:szCs w:val="28"/>
        </w:rPr>
      </w:pPr>
      <w:r>
        <w:rPr>
          <w:rFonts w:hint="eastAsia" w:ascii="黑体" w:hAnsi="黑体" w:eastAsia="黑体" w:cs="仿宋"/>
          <w:b/>
          <w:sz w:val="28"/>
          <w:szCs w:val="28"/>
          <w:lang w:val="en-US" w:eastAsia="zh-CN"/>
        </w:rPr>
        <w:t>高二年级历史</w:t>
      </w:r>
      <w:r>
        <w:rPr>
          <w:rFonts w:hint="eastAsia" w:ascii="黑体" w:hAnsi="黑体" w:eastAsia="黑体" w:cs="仿宋"/>
          <w:b/>
          <w:sz w:val="28"/>
          <w:szCs w:val="28"/>
        </w:rPr>
        <w:t>第35课时</w:t>
      </w:r>
    </w:p>
    <w:p>
      <w:pPr>
        <w:spacing w:line="360" w:lineRule="auto"/>
        <w:jc w:val="center"/>
        <w:rPr>
          <w:rFonts w:hint="eastAsia" w:ascii="黑体" w:hAnsi="黑体" w:eastAsia="黑体" w:cs="仿宋"/>
          <w:b/>
          <w:sz w:val="28"/>
          <w:szCs w:val="28"/>
        </w:rPr>
      </w:pPr>
      <w:r>
        <w:rPr>
          <w:rFonts w:hint="eastAsia" w:ascii="黑体" w:hAnsi="黑体" w:eastAsia="黑体" w:cs="仿宋"/>
          <w:b/>
          <w:sz w:val="28"/>
          <w:szCs w:val="28"/>
        </w:rPr>
        <w:t>《秦巩固中央集权制度的措施与暴政重点突破》学习指南</w:t>
      </w:r>
    </w:p>
    <w:p>
      <w:pPr>
        <w:spacing w:line="360" w:lineRule="auto"/>
        <w:rPr>
          <w:rFonts w:hint="eastAsia" w:cs="仿宋" w:asciiTheme="minorEastAsia" w:hAnsiTheme="minorEastAsia"/>
          <w:b/>
          <w:bCs/>
          <w:sz w:val="24"/>
        </w:rPr>
      </w:pPr>
      <w:r>
        <w:rPr>
          <w:rFonts w:hint="eastAsia" w:cs="仿宋" w:asciiTheme="minorEastAsia" w:hAnsiTheme="minorEastAsia"/>
          <w:b/>
          <w:bCs/>
          <w:sz w:val="24"/>
        </w:rPr>
        <w:t>【课标要求】</w:t>
      </w:r>
    </w:p>
    <w:p>
      <w:pPr>
        <w:pStyle w:val="5"/>
        <w:overflowPunct w:val="0"/>
        <w:spacing w:before="0" w:beforeAutospacing="0" w:after="0" w:afterAutospacing="0" w:line="360" w:lineRule="auto"/>
        <w:rPr>
          <w:rFonts w:cs="仿宋" w:asciiTheme="minorEastAsia" w:hAnsiTheme="minorEastAsia" w:eastAsiaTheme="minorEastAsia"/>
          <w:bCs/>
          <w:kern w:val="2"/>
        </w:rPr>
      </w:pPr>
      <w:r>
        <w:rPr>
          <w:rFonts w:cs="仿宋" w:asciiTheme="minorEastAsia" w:hAnsiTheme="minorEastAsia" w:eastAsiaTheme="minorEastAsia"/>
          <w:bCs/>
          <w:kern w:val="2"/>
        </w:rPr>
        <w:t>1.</w:t>
      </w:r>
      <w:r>
        <w:rPr>
          <w:rFonts w:hint="eastAsia" w:cs="仿宋" w:asciiTheme="minorEastAsia" w:hAnsiTheme="minorEastAsia" w:eastAsiaTheme="minorEastAsia"/>
          <w:bCs/>
          <w:kern w:val="2"/>
        </w:rPr>
        <w:t>通过了解秦朝的统一业绩，认识统一多民族国家的建立及巩固在中国历史上的意义；</w:t>
      </w:r>
    </w:p>
    <w:p>
      <w:pPr>
        <w:pStyle w:val="5"/>
        <w:overflowPunct w:val="0"/>
        <w:spacing w:before="0" w:beforeAutospacing="0" w:after="0" w:afterAutospacing="0" w:line="360" w:lineRule="auto"/>
        <w:rPr>
          <w:rFonts w:cs="仿宋" w:asciiTheme="minorEastAsia" w:hAnsiTheme="minorEastAsia" w:eastAsiaTheme="minorEastAsia"/>
          <w:bCs/>
          <w:kern w:val="2"/>
        </w:rPr>
      </w:pPr>
      <w:r>
        <w:rPr>
          <w:rFonts w:cs="仿宋" w:asciiTheme="minorEastAsia" w:hAnsiTheme="minorEastAsia" w:eastAsiaTheme="minorEastAsia"/>
          <w:bCs/>
          <w:kern w:val="2"/>
        </w:rPr>
        <w:t>2.</w:t>
      </w:r>
      <w:r>
        <w:rPr>
          <w:rFonts w:hint="eastAsia" w:cs="仿宋" w:asciiTheme="minorEastAsia" w:hAnsiTheme="minorEastAsia" w:eastAsiaTheme="minorEastAsia"/>
          <w:bCs/>
          <w:kern w:val="2"/>
        </w:rPr>
        <w:t>通过了解秦朝的社会矛盾和农民起义，认识秦朝崩溃的原因。</w:t>
      </w:r>
    </w:p>
    <w:p>
      <w:pPr>
        <w:spacing w:line="360" w:lineRule="auto"/>
        <w:rPr>
          <w:rFonts w:cs="仿宋" w:asciiTheme="minorEastAsia" w:hAnsiTheme="minorEastAsia"/>
          <w:b/>
          <w:bCs/>
          <w:sz w:val="24"/>
        </w:rPr>
      </w:pPr>
      <w:r>
        <w:rPr>
          <w:rFonts w:hint="eastAsia" w:cs="仿宋" w:asciiTheme="minorEastAsia" w:hAnsiTheme="minorEastAsia"/>
          <w:b/>
          <w:bCs/>
          <w:sz w:val="24"/>
        </w:rPr>
        <w:t>【学习目标】</w:t>
      </w:r>
    </w:p>
    <w:p>
      <w:pPr>
        <w:spacing w:line="360" w:lineRule="auto"/>
        <w:rPr>
          <w:rFonts w:hint="eastAsia" w:cs="仿宋" w:asciiTheme="minorEastAsia" w:hAnsiTheme="minorEastAsia"/>
          <w:bCs/>
          <w:sz w:val="24"/>
        </w:rPr>
      </w:pPr>
      <w:r>
        <w:rPr>
          <w:rFonts w:hint="eastAsia" w:cs="仿宋" w:asciiTheme="minorEastAsia" w:hAnsiTheme="minorEastAsia"/>
          <w:bCs/>
          <w:sz w:val="24"/>
        </w:rPr>
        <w:t>通过对“巴蜀移民”问题的探讨，知道特定的事实与特定的时间和空间相联系的；能够在不同的时空框架下对史事</w:t>
      </w:r>
      <w:r>
        <w:rPr>
          <w:rFonts w:hint="eastAsia" w:cs="仿宋" w:asciiTheme="minorEastAsia" w:hAnsiTheme="minorEastAsia"/>
          <w:bCs/>
          <w:sz w:val="24"/>
          <w:lang w:val="en-US" w:eastAsia="zh-CN"/>
        </w:rPr>
        <w:t>做</w:t>
      </w:r>
      <w:bookmarkStart w:id="0" w:name="_GoBack"/>
      <w:bookmarkEnd w:id="0"/>
      <w:r>
        <w:rPr>
          <w:rFonts w:hint="eastAsia" w:cs="仿宋" w:asciiTheme="minorEastAsia" w:hAnsiTheme="minorEastAsia"/>
          <w:bCs/>
          <w:sz w:val="24"/>
        </w:rPr>
        <w:t>出合理的解释，提升时空观念的核心素养；通过对“书同文”作用的分析和对“秦王朝筑长城又毁长城的”的评析，能够区分历史叙述的史实和解释，知道对同一历史事物会有不同的历史解释，并能够对各种历史解释加以辨析和价值判断，能够有理有据的论述自己的看法，提升历史解释的能力，涵养家国情怀。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Cs w:val="21"/>
        </w:rPr>
      </w:pPr>
      <w:r>
        <w:rPr>
          <w:rFonts w:hint="eastAsia" w:ascii="宋体" w:hAnsi="宋体" w:eastAsia="宋体" w:cs="宋体"/>
          <w:b/>
          <w:bCs/>
          <w:szCs w:val="21"/>
        </w:rPr>
        <w:t>【</w:t>
      </w:r>
      <w:r>
        <w:rPr>
          <w:rFonts w:hint="eastAsia" w:cs="仿宋" w:asciiTheme="minorEastAsia" w:hAnsiTheme="minorEastAsia"/>
          <w:b/>
          <w:bCs/>
          <w:sz w:val="24"/>
        </w:rPr>
        <w:t>学法指导</w:t>
      </w:r>
      <w:r>
        <w:rPr>
          <w:rFonts w:hint="eastAsia" w:ascii="宋体" w:hAnsi="宋体" w:eastAsia="宋体" w:cs="宋体"/>
          <w:b/>
          <w:bCs/>
          <w:szCs w:val="21"/>
        </w:rPr>
        <w:t>】</w:t>
      </w:r>
    </w:p>
    <w:p>
      <w:pPr>
        <w:spacing w:line="360" w:lineRule="auto"/>
        <w:rPr>
          <w:rFonts w:hint="eastAsia" w:cs="仿宋" w:asciiTheme="minorEastAsia" w:hAnsiTheme="minorEastAsia"/>
          <w:bCs/>
          <w:sz w:val="24"/>
        </w:rPr>
      </w:pPr>
      <w:r>
        <w:rPr>
          <w:rFonts w:hint="eastAsia" w:cs="仿宋" w:asciiTheme="minorEastAsia" w:hAnsiTheme="minorEastAsia"/>
          <w:bCs/>
          <w:sz w:val="24"/>
        </w:rPr>
        <w:t>1.系统梳理一轮复习时关于秦朝巩固统一的措施及其意义的基础知识；</w:t>
      </w:r>
    </w:p>
    <w:p>
      <w:pPr>
        <w:spacing w:line="360" w:lineRule="auto"/>
        <w:rPr>
          <w:rFonts w:hint="eastAsia" w:cs="仿宋" w:asciiTheme="minorEastAsia" w:hAnsiTheme="minorEastAsia"/>
          <w:bCs/>
          <w:sz w:val="24"/>
        </w:rPr>
      </w:pPr>
      <w:r>
        <w:rPr>
          <w:rFonts w:hint="eastAsia" w:cs="仿宋" w:asciiTheme="minorEastAsia" w:hAnsiTheme="minorEastAsia"/>
          <w:bCs/>
          <w:sz w:val="24"/>
        </w:rPr>
        <w:t>2.客观、辩证的认识秦巩固统一措施的历史影响，及其和秦朝速亡的微妙联系，深刻理解为何秦朝开创了统一中国的万世伟业，但秦始皇去世后不久，秦朝就迅速灭亡的原因。理解在秦朝表面强大的背后，隐藏着诸多社会矛盾。</w:t>
      </w: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【归纳总结】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1.知识总结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drawing>
          <wp:inline distT="0" distB="0" distL="0" distR="0">
            <wp:extent cx="5274310" cy="2113280"/>
            <wp:effectExtent l="0" t="0" r="0" b="0"/>
            <wp:docPr id="10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13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2.方法总结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突破本课重点时要注重培养时空观念和历史解释的核心素养。通过对秦朝巩固统一措施的史料的搜集、整理和辨析，辩证、客观地理解这些措施的作用和意义，以及对于统一多民族国家的发展以及中国古代社会长期的深远影响。</w:t>
      </w:r>
    </w:p>
    <w:p>
      <w:pPr>
        <w:spacing w:line="360" w:lineRule="auto"/>
        <w:rPr>
          <w:rFonts w:cs="仿宋" w:asciiTheme="minorEastAsia" w:hAnsiTheme="minorEastAsia"/>
          <w:b/>
          <w:bCs/>
          <w:sz w:val="24"/>
        </w:rPr>
      </w:pPr>
    </w:p>
    <w:p>
      <w:pPr>
        <w:spacing w:line="360" w:lineRule="auto"/>
        <w:rPr>
          <w:rFonts w:hint="eastAsia" w:cs="仿宋" w:asciiTheme="minorEastAsia" w:hAnsiTheme="minorEastAsia"/>
          <w:b/>
          <w:bCs/>
          <w:sz w:val="24"/>
        </w:rPr>
      </w:pPr>
      <w:r>
        <w:rPr>
          <w:rFonts w:hint="eastAsia" w:cs="仿宋" w:asciiTheme="minorEastAsia" w:hAnsiTheme="minorEastAsia"/>
          <w:b/>
          <w:bCs/>
          <w:sz w:val="24"/>
        </w:rPr>
        <w:t>【学习任务】</w:t>
      </w:r>
    </w:p>
    <w:p>
      <w:pPr>
        <w:spacing w:line="360" w:lineRule="auto"/>
        <w:rPr>
          <w:rFonts w:hint="eastAsia"/>
        </w:rPr>
      </w:pPr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404495</wp:posOffset>
            </wp:positionH>
            <wp:positionV relativeFrom="paragraph">
              <wp:posOffset>88900</wp:posOffset>
            </wp:positionV>
            <wp:extent cx="4027170" cy="1804670"/>
            <wp:effectExtent l="0" t="0" r="0" b="0"/>
            <wp:wrapSquare wrapText="bothSides"/>
            <wp:docPr id="100001" name="图片 1000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图片 10000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27170" cy="1804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cs="仿宋" w:asciiTheme="minorEastAsia" w:hAnsiTheme="minorEastAsia"/>
          <w:b/>
          <w:bCs/>
          <w:sz w:val="24"/>
        </w:rPr>
        <w:t xml:space="preserve"> </w:t>
      </w:r>
      <w:r>
        <w:t xml:space="preserve"> </w:t>
      </w:r>
    </w:p>
    <w:p>
      <w:pPr>
        <w:spacing w:line="360" w:lineRule="auto"/>
        <w:rPr>
          <w:rFonts w:hint="eastAsia"/>
        </w:rPr>
      </w:pPr>
    </w:p>
    <w:p>
      <w:pPr>
        <w:spacing w:line="360" w:lineRule="auto"/>
        <w:rPr>
          <w:rFonts w:hint="eastAsia"/>
        </w:rPr>
      </w:pPr>
    </w:p>
    <w:p>
      <w:pPr>
        <w:spacing w:line="360" w:lineRule="auto"/>
        <w:rPr>
          <w:rFonts w:hint="eastAsia"/>
        </w:rPr>
      </w:pPr>
    </w:p>
    <w:p>
      <w:pPr>
        <w:spacing w:line="360" w:lineRule="auto"/>
        <w:rPr>
          <w:rFonts w:hint="eastAsia"/>
        </w:rPr>
      </w:pPr>
    </w:p>
    <w:p>
      <w:pPr>
        <w:spacing w:line="360" w:lineRule="auto"/>
        <w:rPr>
          <w:rFonts w:hint="eastAsia"/>
        </w:rPr>
      </w:pPr>
    </w:p>
    <w:p>
      <w:pPr>
        <w:spacing w:line="360" w:lineRule="auto"/>
        <w:rPr>
          <w:rFonts w:hint="eastAsia"/>
        </w:rPr>
      </w:pPr>
    </w:p>
    <w:p>
      <w:pPr>
        <w:pStyle w:val="11"/>
        <w:numPr>
          <w:ilvl w:val="0"/>
          <w:numId w:val="1"/>
        </w:numPr>
        <w:spacing w:line="360" w:lineRule="auto"/>
        <w:ind w:firstLineChars="0"/>
        <w:jc w:val="left"/>
        <w:textAlignment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比较秦朝和隋朝的两幅地图，提取两条信息，并结合所学知识进行阐释。</w:t>
      </w:r>
    </w:p>
    <w:p>
      <w:pPr>
        <w:spacing w:line="360" w:lineRule="auto"/>
        <w:jc w:val="left"/>
        <w:textAlignment w:val="center"/>
        <w:rPr>
          <w:rFonts w:hint="eastAsia" w:ascii="宋体" w:hAnsi="宋体" w:cs="宋体"/>
        </w:rPr>
      </w:pPr>
    </w:p>
    <w:p>
      <w:pPr>
        <w:spacing w:line="360" w:lineRule="auto"/>
        <w:jc w:val="left"/>
        <w:textAlignment w:val="center"/>
        <w:rPr>
          <w:rFonts w:hint="eastAsia" w:ascii="宋体" w:hAnsi="宋体" w:cs="宋体"/>
        </w:rPr>
      </w:pPr>
    </w:p>
    <w:p>
      <w:pPr>
        <w:spacing w:line="360" w:lineRule="auto"/>
        <w:ind w:firstLine="450"/>
        <w:jc w:val="left"/>
        <w:textAlignment w:val="center"/>
        <w:rPr>
          <w:rFonts w:ascii="楷体" w:hAnsi="楷体" w:eastAsia="楷体" w:cs="楷体"/>
          <w:sz w:val="24"/>
          <w:szCs w:val="24"/>
        </w:rPr>
      </w:pPr>
      <w:r>
        <w:rPr>
          <w:rFonts w:ascii="楷体" w:hAnsi="楷体" w:eastAsia="楷体" w:cs="楷体"/>
          <w:sz w:val="24"/>
          <w:szCs w:val="24"/>
        </w:rPr>
        <w:t>公元前六世纪，大流士首创行省制度，将全国分为20多个行省，其总督由皇帝任命。各省有固定的税收额度，并统一了全国的币制，金币的铸造权归中央。为解决国内民族众多、语言互异的问题，将阿拉米亚语确定为全国通用语言。大流士强化“国王的意志和命令就是法律”的君主制传统，并使各行省驻军归中央政府节制。</w:t>
      </w:r>
    </w:p>
    <w:p>
      <w:pPr>
        <w:spacing w:line="360" w:lineRule="auto"/>
        <w:ind w:firstLine="450"/>
        <w:jc w:val="left"/>
        <w:textAlignment w:val="center"/>
        <w:rPr>
          <w:rFonts w:ascii="楷体" w:hAnsi="楷体" w:eastAsia="楷体" w:cs="楷体"/>
          <w:sz w:val="24"/>
          <w:szCs w:val="24"/>
        </w:rPr>
      </w:pPr>
      <w:r>
        <w:rPr>
          <w:rFonts w:ascii="楷体" w:hAnsi="楷体" w:eastAsia="楷体" w:cs="楷体"/>
          <w:sz w:val="24"/>
          <w:szCs w:val="24"/>
        </w:rPr>
        <w:t>秦帝国在地方上废除了分封制，全盘实行自战国以来各国陆续采取的郡县制，由皇帝任免地方行政首长。实行土地私有制，社会成员以统一的田租、口赋、兵役、力役等形式向国家尽义务。为使帝国境内的经济发展，秦始皇在统一当年就采取了统一度量衡、货币和文字以及车轨的措施，并以秦国成文法为基础，制定和颁行全国统一的法律。在军事上，秦帝国的三大兵种分属地方和中央两大系统，军权集中于皇帝本人。</w:t>
      </w:r>
    </w:p>
    <w:p>
      <w:pPr>
        <w:spacing w:line="360" w:lineRule="auto"/>
        <w:jc w:val="right"/>
        <w:textAlignment w:val="center"/>
        <w:rPr>
          <w:rFonts w:ascii="宋体" w:hAnsi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——摘自段清波《从秦始皇陵考古看中西文化交流》</w:t>
      </w:r>
    </w:p>
    <w:p>
      <w:pPr>
        <w:spacing w:line="360" w:lineRule="auto"/>
        <w:ind w:firstLine="480" w:firstLineChars="200"/>
        <w:jc w:val="left"/>
        <w:textAlignment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2．阅读材料，</w:t>
      </w:r>
      <w:r>
        <w:rPr>
          <w:rFonts w:ascii="宋体" w:hAnsi="宋体" w:eastAsia="宋体" w:cs="宋体"/>
          <w:sz w:val="24"/>
          <w:szCs w:val="24"/>
        </w:rPr>
        <w:t>概括波斯帝国和秦始皇在国家治理方面的相同点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spacing w:line="360" w:lineRule="auto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7F55C4"/>
    <w:multiLevelType w:val="multilevel"/>
    <w:tmpl w:val="1D7F55C4"/>
    <w:lvl w:ilvl="0" w:tentative="0">
      <w:start w:val="1"/>
      <w:numFmt w:val="decimal"/>
      <w:lvlText w:val="%1."/>
      <w:lvlJc w:val="left"/>
      <w:pPr>
        <w:ind w:left="810" w:hanging="360"/>
      </w:pPr>
      <w:rPr>
        <w:rFonts w:hint="default" w:asciiTheme="minorHAnsi" w:hAnsiTheme="minorHAnsi" w:eastAsiaTheme="minorEastAsia" w:cstheme="minorBidi"/>
      </w:rPr>
    </w:lvl>
    <w:lvl w:ilvl="1" w:tentative="0">
      <w:start w:val="1"/>
      <w:numFmt w:val="lowerLetter"/>
      <w:lvlText w:val="%2)"/>
      <w:lvlJc w:val="left"/>
      <w:pPr>
        <w:ind w:left="1290" w:hanging="420"/>
      </w:pPr>
    </w:lvl>
    <w:lvl w:ilvl="2" w:tentative="0">
      <w:start w:val="1"/>
      <w:numFmt w:val="lowerRoman"/>
      <w:lvlText w:val="%3."/>
      <w:lvlJc w:val="right"/>
      <w:pPr>
        <w:ind w:left="1710" w:hanging="420"/>
      </w:pPr>
    </w:lvl>
    <w:lvl w:ilvl="3" w:tentative="0">
      <w:start w:val="1"/>
      <w:numFmt w:val="decimal"/>
      <w:lvlText w:val="%4."/>
      <w:lvlJc w:val="left"/>
      <w:pPr>
        <w:ind w:left="2130" w:hanging="420"/>
      </w:pPr>
    </w:lvl>
    <w:lvl w:ilvl="4" w:tentative="0">
      <w:start w:val="1"/>
      <w:numFmt w:val="lowerLetter"/>
      <w:lvlText w:val="%5)"/>
      <w:lvlJc w:val="left"/>
      <w:pPr>
        <w:ind w:left="2550" w:hanging="420"/>
      </w:pPr>
    </w:lvl>
    <w:lvl w:ilvl="5" w:tentative="0">
      <w:start w:val="1"/>
      <w:numFmt w:val="lowerRoman"/>
      <w:lvlText w:val="%6."/>
      <w:lvlJc w:val="right"/>
      <w:pPr>
        <w:ind w:left="2970" w:hanging="420"/>
      </w:pPr>
    </w:lvl>
    <w:lvl w:ilvl="6" w:tentative="0">
      <w:start w:val="1"/>
      <w:numFmt w:val="decimal"/>
      <w:lvlText w:val="%7."/>
      <w:lvlJc w:val="left"/>
      <w:pPr>
        <w:ind w:left="3390" w:hanging="420"/>
      </w:pPr>
    </w:lvl>
    <w:lvl w:ilvl="7" w:tentative="0">
      <w:start w:val="1"/>
      <w:numFmt w:val="lowerLetter"/>
      <w:lvlText w:val="%8)"/>
      <w:lvlJc w:val="left"/>
      <w:pPr>
        <w:ind w:left="3810" w:hanging="420"/>
      </w:pPr>
    </w:lvl>
    <w:lvl w:ilvl="8" w:tentative="0">
      <w:start w:val="1"/>
      <w:numFmt w:val="lowerRoman"/>
      <w:lvlText w:val="%9."/>
      <w:lvlJc w:val="right"/>
      <w:pPr>
        <w:ind w:left="423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C3C3009"/>
    <w:rsid w:val="0000455C"/>
    <w:rsid w:val="00035432"/>
    <w:rsid w:val="000C69BE"/>
    <w:rsid w:val="000D1C57"/>
    <w:rsid w:val="00104073"/>
    <w:rsid w:val="00105BF4"/>
    <w:rsid w:val="00167D66"/>
    <w:rsid w:val="00296D26"/>
    <w:rsid w:val="0032139C"/>
    <w:rsid w:val="00345632"/>
    <w:rsid w:val="003778BF"/>
    <w:rsid w:val="004213BA"/>
    <w:rsid w:val="00430E2D"/>
    <w:rsid w:val="00432E44"/>
    <w:rsid w:val="00451757"/>
    <w:rsid w:val="00493F26"/>
    <w:rsid w:val="004E55D3"/>
    <w:rsid w:val="005C0028"/>
    <w:rsid w:val="00635717"/>
    <w:rsid w:val="006A4BDF"/>
    <w:rsid w:val="006C155A"/>
    <w:rsid w:val="006D121F"/>
    <w:rsid w:val="006F16E9"/>
    <w:rsid w:val="007953E2"/>
    <w:rsid w:val="0093023E"/>
    <w:rsid w:val="009E655A"/>
    <w:rsid w:val="00AC1997"/>
    <w:rsid w:val="00B10C9F"/>
    <w:rsid w:val="00B4570C"/>
    <w:rsid w:val="00B570E9"/>
    <w:rsid w:val="00D001E3"/>
    <w:rsid w:val="00D65673"/>
    <w:rsid w:val="00DA4E1A"/>
    <w:rsid w:val="00E21084"/>
    <w:rsid w:val="00E4607F"/>
    <w:rsid w:val="00EF5231"/>
    <w:rsid w:val="00F108B7"/>
    <w:rsid w:val="00F80AC2"/>
    <w:rsid w:val="0C3C3009"/>
    <w:rsid w:val="137C5504"/>
    <w:rsid w:val="148E11A8"/>
    <w:rsid w:val="1681053A"/>
    <w:rsid w:val="39DF5A18"/>
    <w:rsid w:val="4B5C77CF"/>
    <w:rsid w:val="545F6C34"/>
    <w:rsid w:val="5B875671"/>
    <w:rsid w:val="6B19105A"/>
    <w:rsid w:val="77B30BBF"/>
    <w:rsid w:val="77B7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2">
    <w:name w:val="批注框文本 Char"/>
    <w:basedOn w:val="8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151</Words>
  <Characters>867</Characters>
  <Lines>7</Lines>
  <Paragraphs>2</Paragraphs>
  <TotalTime>22</TotalTime>
  <ScaleCrop>false</ScaleCrop>
  <LinksUpToDate>false</LinksUpToDate>
  <CharactersWithSpaces>1016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2020-01-31T07:25:00Z</dcterms:created>
  <dc:creator>徐海滨</dc:creator>
  <cp:lastModifiedBy>徐海滨</cp:lastModifiedBy>
  <dcterms:modified xsi:type="dcterms:W3CDTF">2020-05-04T04:08:43Z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