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34课时《秦的统一与中央集权制度的建立重点突破》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制度创新是人类社会发展进步的一个重要体现。阅读材料，回答问题。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材料一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楷体" w:hAnsi="楷体" w:eastAsia="楷体"/>
          <w:sz w:val="24"/>
          <w:szCs w:val="24"/>
        </w:rPr>
        <w:t>早期国家的官制是建立在亲贵合一的基础上的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,</w:t>
      </w:r>
      <w:r>
        <w:rPr>
          <w:rFonts w:ascii="楷体" w:hAnsi="楷体" w:eastAsia="楷体"/>
          <w:sz w:val="24"/>
          <w:szCs w:val="24"/>
        </w:rPr>
        <w:t xml:space="preserve">血缘亲族是任官的先决条件，世袭罔替，代代相承。在那种贵族参政、议政、辅政的情况下，官的权力界限也不分明。如西周主管政务的卿事寮可以辅政，也可以将兵作战，也可以主持重要的祭祀大典；而太史寮也可以辅政、将兵。官有一定的分工，但不够清晰严格，这是贵族政治的必然现象。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（1）结合材料一和所学知识，说明秦朝的中央官制与西周相比发生了怎样的变化？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材料二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ascii="楷体" w:hAnsi="楷体" w:eastAsia="楷体"/>
          <w:sz w:val="24"/>
          <w:szCs w:val="24"/>
        </w:rPr>
        <w:t xml:space="preserve">郡县之制垂二千年而弗能改矣，合古今上下皆安之……秦之所灭都六国耳，非尽灭三代之所封也。则分之为郡，分之为县，俾才可长民者皆居民上……为天下计，则(郡县制)害不如封建之滋也多矣。 </w:t>
      </w:r>
    </w:p>
    <w:p>
      <w:pPr>
        <w:spacing w:line="360" w:lineRule="auto"/>
        <w:ind w:firstLine="480" w:firstLineChars="200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——王夫之《读通鉴论</w:t>
      </w:r>
      <w:r>
        <w:rPr>
          <w:rFonts w:hint="eastAsia"/>
          <w:sz w:val="24"/>
          <w:szCs w:val="24"/>
        </w:rPr>
        <w:t>•</w:t>
      </w:r>
      <w:r>
        <w:rPr>
          <w:rFonts w:hint="eastAsia" w:ascii="楷体" w:hAnsi="楷体" w:eastAsia="楷体" w:cs="楷体"/>
          <w:sz w:val="24"/>
          <w:szCs w:val="24"/>
        </w:rPr>
        <w:t>秦史》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材料三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楷体" w:hAnsi="楷体" w:eastAsia="楷体"/>
          <w:sz w:val="24"/>
          <w:szCs w:val="24"/>
        </w:rPr>
        <w:t>郡县之失，其专在上……今之出君人者</w:t>
      </w:r>
      <w:r>
        <w:rPr>
          <w:rFonts w:hint="eastAsia" w:ascii="楷体" w:hAnsi="楷体" w:eastAsia="楷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ascii="楷体" w:hAnsi="楷体" w:eastAsia="楷体"/>
          <w:sz w:val="24"/>
          <w:szCs w:val="24"/>
        </w:rPr>
        <w:t xml:space="preserve">尽四海之内为我郡县犹不足也，人人而疑之，事事而制之。 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——顾炎武《郡县论》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（2）根据材料二、三，分别概括王夫之、顾炎武对郡县制的看法。结合所学知识，简述郡县制在中国历史发展中的积极作用。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D4"/>
    <w:rsid w:val="00EB1F76"/>
    <w:rsid w:val="00F517D4"/>
    <w:rsid w:val="3E7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3</TotalTime>
  <ScaleCrop>false</ScaleCrop>
  <LinksUpToDate>false</LinksUpToDate>
  <CharactersWithSpaces>507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2020-04-24T07:12:00Z</dcterms:created>
  <dc:creator>lenovo</dc:creator>
  <cp:lastModifiedBy>徐海滨</cp:lastModifiedBy>
  <dcterms:modified xsi:type="dcterms:W3CDTF">2020-04-26T00:27:33Z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