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bookmarkStart w:id="0" w:name="_GoBack"/>
      <w:bookmarkEnd w:id="0"/>
      <w:r>
        <w:rPr>
          <w:rFonts w:hint="eastAsia" w:asciiTheme="minorEastAsia" w:hAnsiTheme="minorEastAsia" w:eastAsiaTheme="minorEastAsia" w:cstheme="minorEastAsia"/>
          <w:sz w:val="24"/>
          <w:szCs w:val="24"/>
          <w:lang w:val="en-US" w:eastAsia="zh-CN"/>
        </w:rPr>
        <w:t>高二语文《非攻》检测题</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一、基础知识</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1．下列句子中，含有通假字的一项是(　　)</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A．其不义以遗后世哉</w:t>
      </w:r>
      <w:r>
        <w:rPr>
          <w:rFonts w:hint="eastAsia" w:asciiTheme="minorEastAsia" w:hAnsiTheme="minorEastAsia" w:eastAsiaTheme="minorEastAsia" w:cstheme="minorEastAsia"/>
          <w:sz w:val="24"/>
          <w:szCs w:val="24"/>
          <w:lang w:val="en-US" w:eastAsia="zh-CN"/>
        </w:rPr>
        <w:t xml:space="preserve">         B扡其衣裘，取戈剑者</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C．若以此说往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D．天下之君子皆知而非之</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2．下列各组句子中，加点词的意义和用法相同的一组是(　　)</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(\a\vs4\al\co1(其不仁兹</w:instrText>
      </w:r>
      <w:r>
        <w:rPr>
          <w:rFonts w:hint="eastAsia" w:asciiTheme="minorEastAsia" w:hAnsiTheme="minorEastAsia" w:eastAsiaTheme="minorEastAsia" w:cstheme="minorEastAsia"/>
          <w:sz w:val="24"/>
          <w:szCs w:val="24"/>
          <w:em w:val="underDot"/>
        </w:rPr>
        <w:instrText xml:space="preserve">甚</w:instrText>
      </w:r>
      <w:r>
        <w:rPr>
          <w:rFonts w:hint="eastAsia" w:asciiTheme="minorEastAsia" w:hAnsiTheme="minorEastAsia" w:eastAsiaTheme="minorEastAsia" w:cstheme="minorEastAsia"/>
          <w:sz w:val="24"/>
          <w:szCs w:val="24"/>
        </w:rPr>
        <w:instrText xml:space="preserve">,其不义又</w:instrText>
      </w:r>
      <w:r>
        <w:rPr>
          <w:rFonts w:hint="eastAsia" w:asciiTheme="minorEastAsia" w:hAnsiTheme="minorEastAsia" w:eastAsiaTheme="minorEastAsia" w:cstheme="minorEastAsia"/>
          <w:sz w:val="24"/>
          <w:szCs w:val="24"/>
          <w:em w:val="underDot"/>
        </w:rPr>
        <w:instrText xml:space="preserve">甚</w:instrText>
      </w:r>
      <w:r>
        <w:rPr>
          <w:rFonts w:hint="eastAsia" w:asciiTheme="minorEastAsia" w:hAnsiTheme="minorEastAsia" w:eastAsiaTheme="minorEastAsia" w:cstheme="minorEastAsia"/>
          <w:sz w:val="24"/>
          <w:szCs w:val="24"/>
        </w:rPr>
        <w:instrText xml:space="preserve">入人栏厩取人马牛))</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(\a\vs4\al\co1(若以此</w:instrText>
      </w:r>
      <w:r>
        <w:rPr>
          <w:rFonts w:hint="eastAsia" w:asciiTheme="minorEastAsia" w:hAnsiTheme="minorEastAsia" w:eastAsiaTheme="minorEastAsia" w:cstheme="minorEastAsia"/>
          <w:sz w:val="24"/>
          <w:szCs w:val="24"/>
          <w:em w:val="underDot"/>
        </w:rPr>
        <w:instrText xml:space="preserve">说</w:instrText>
      </w:r>
      <w:r>
        <w:rPr>
          <w:rFonts w:hint="eastAsia" w:asciiTheme="minorEastAsia" w:hAnsiTheme="minorEastAsia" w:eastAsiaTheme="minorEastAsia" w:cstheme="minorEastAsia"/>
          <w:sz w:val="24"/>
          <w:szCs w:val="24"/>
        </w:rPr>
        <w:instrText xml:space="preserve">往,夫奚</w:instrText>
      </w:r>
      <w:r>
        <w:rPr>
          <w:rFonts w:hint="eastAsia" w:asciiTheme="minorEastAsia" w:hAnsiTheme="minorEastAsia" w:eastAsiaTheme="minorEastAsia" w:cstheme="minorEastAsia"/>
          <w:sz w:val="24"/>
          <w:szCs w:val="24"/>
          <w:em w:val="underDot"/>
        </w:rPr>
        <w:instrText xml:space="preserve">说</w:instrText>
      </w:r>
      <w:r>
        <w:rPr>
          <w:rFonts w:hint="eastAsia" w:asciiTheme="minorEastAsia" w:hAnsiTheme="minorEastAsia" w:eastAsiaTheme="minorEastAsia" w:cstheme="minorEastAsia"/>
          <w:sz w:val="24"/>
          <w:szCs w:val="24"/>
        </w:rPr>
        <w:instrText xml:space="preserve">书其不义以遗后世哉))</w:instrText>
      </w:r>
      <w:r>
        <w:rPr>
          <w:rFonts w:hint="eastAsia" w:asciiTheme="minorEastAsia" w:hAnsiTheme="minorEastAsia" w:eastAsiaTheme="minorEastAsia" w:cstheme="minorEastAsia"/>
          <w:sz w:val="24"/>
          <w:szCs w:val="24"/>
        </w:rPr>
        <w:fldChar w:fldCharType="end"/>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(\a\vs4\al\co1(此可谓知义与不义之</w:instrText>
      </w:r>
      <w:r>
        <w:rPr>
          <w:rFonts w:hint="eastAsia" w:asciiTheme="minorEastAsia" w:hAnsiTheme="minorEastAsia" w:eastAsiaTheme="minorEastAsia" w:cstheme="minorEastAsia"/>
          <w:sz w:val="24"/>
          <w:szCs w:val="24"/>
          <w:em w:val="underDot"/>
        </w:rPr>
        <w:instrText xml:space="preserve">辩</w:instrText>
      </w:r>
      <w:r>
        <w:rPr>
          <w:rFonts w:hint="eastAsia" w:asciiTheme="minorEastAsia" w:hAnsiTheme="minorEastAsia" w:eastAsiaTheme="minorEastAsia" w:cstheme="minorEastAsia"/>
          <w:sz w:val="24"/>
          <w:szCs w:val="24"/>
        </w:rPr>
        <w:instrText xml:space="preserve">乎,</w:instrText>
      </w:r>
      <w:r>
        <w:rPr>
          <w:rFonts w:hint="eastAsia" w:asciiTheme="minorEastAsia" w:hAnsiTheme="minorEastAsia" w:eastAsiaTheme="minorEastAsia" w:cstheme="minorEastAsia"/>
          <w:sz w:val="24"/>
          <w:szCs w:val="24"/>
          <w:em w:val="underDot"/>
        </w:rPr>
        <w:instrText xml:space="preserve">辩</w:instrText>
      </w:r>
      <w:r>
        <w:rPr>
          <w:rFonts w:hint="eastAsia" w:asciiTheme="minorEastAsia" w:hAnsiTheme="minorEastAsia" w:eastAsiaTheme="minorEastAsia" w:cstheme="minorEastAsia"/>
          <w:sz w:val="24"/>
          <w:szCs w:val="24"/>
        </w:rPr>
        <w:instrText xml:space="preserve">义与不义之乱也))</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(\a\vs4\al\co1(众闻则</w:instrText>
      </w:r>
      <w:r>
        <w:rPr>
          <w:rFonts w:hint="eastAsia" w:asciiTheme="minorEastAsia" w:hAnsiTheme="minorEastAsia" w:eastAsiaTheme="minorEastAsia" w:cstheme="minorEastAsia"/>
          <w:sz w:val="24"/>
          <w:szCs w:val="24"/>
          <w:em w:val="underDot"/>
        </w:rPr>
        <w:instrText xml:space="preserve">非</w:instrText>
      </w:r>
      <w:r>
        <w:rPr>
          <w:rFonts w:hint="eastAsia" w:asciiTheme="minorEastAsia" w:hAnsiTheme="minorEastAsia" w:eastAsiaTheme="minorEastAsia" w:cstheme="minorEastAsia"/>
          <w:sz w:val="24"/>
          <w:szCs w:val="24"/>
        </w:rPr>
        <w:instrText xml:space="preserve">之,大为</w:instrText>
      </w:r>
      <w:r>
        <w:rPr>
          <w:rFonts w:hint="eastAsia" w:asciiTheme="minorEastAsia" w:hAnsiTheme="minorEastAsia" w:eastAsiaTheme="minorEastAsia" w:cstheme="minorEastAsia"/>
          <w:sz w:val="24"/>
          <w:szCs w:val="24"/>
          <w:em w:val="underDot"/>
        </w:rPr>
        <w:instrText xml:space="preserve">非</w:instrText>
      </w:r>
      <w:r>
        <w:rPr>
          <w:rFonts w:hint="eastAsia" w:asciiTheme="minorEastAsia" w:hAnsiTheme="minorEastAsia" w:eastAsiaTheme="minorEastAsia" w:cstheme="minorEastAsia"/>
          <w:sz w:val="24"/>
          <w:szCs w:val="24"/>
        </w:rPr>
        <w:instrText xml:space="preserve">攻国))</w:instrText>
      </w:r>
      <w:r>
        <w:rPr>
          <w:rFonts w:hint="eastAsia" w:asciiTheme="minorEastAsia" w:hAnsiTheme="minorEastAsia" w:eastAsiaTheme="minorEastAsia" w:cstheme="minorEastAsia"/>
          <w:sz w:val="24"/>
          <w:szCs w:val="24"/>
        </w:rPr>
        <w:fldChar w:fldCharType="end"/>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下列各组句子中，加点词的意义和用法相同的一组是(　　)</w:t>
      </w:r>
    </w:p>
    <w:p>
      <w:pPr>
        <w:pStyle w:val="2"/>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(\a\vs4\al\co1(众闻</w:instrText>
      </w:r>
      <w:r>
        <w:rPr>
          <w:rFonts w:hint="eastAsia" w:asciiTheme="minorEastAsia" w:hAnsiTheme="minorEastAsia" w:eastAsiaTheme="minorEastAsia" w:cstheme="minorEastAsia"/>
          <w:sz w:val="24"/>
          <w:szCs w:val="24"/>
          <w:em w:val="underDot"/>
        </w:rPr>
        <w:instrText xml:space="preserve">则</w:instrText>
      </w:r>
      <w:r>
        <w:rPr>
          <w:rFonts w:hint="eastAsia" w:asciiTheme="minorEastAsia" w:hAnsiTheme="minorEastAsia" w:eastAsiaTheme="minorEastAsia" w:cstheme="minorEastAsia"/>
          <w:sz w:val="24"/>
          <w:szCs w:val="24"/>
        </w:rPr>
        <w:instrText xml:space="preserve">非之,大为非攻国，</w:instrText>
      </w:r>
      <w:r>
        <w:rPr>
          <w:rFonts w:hint="eastAsia" w:asciiTheme="minorEastAsia" w:hAnsiTheme="minorEastAsia" w:eastAsiaTheme="minorEastAsia" w:cstheme="minorEastAsia"/>
          <w:sz w:val="24"/>
          <w:szCs w:val="24"/>
          <w:em w:val="underDot"/>
        </w:rPr>
        <w:instrText xml:space="preserve">则</w:instrText>
      </w:r>
      <w:r>
        <w:rPr>
          <w:rFonts w:hint="eastAsia" w:asciiTheme="minorEastAsia" w:hAnsiTheme="minorEastAsia" w:eastAsiaTheme="minorEastAsia" w:cstheme="minorEastAsia"/>
          <w:sz w:val="24"/>
          <w:szCs w:val="24"/>
        </w:rPr>
        <w:instrText xml:space="preserve">不知非))</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(\a\vs4\al\co1(天下之君子皆知而非</w:instrText>
      </w:r>
      <w:r>
        <w:rPr>
          <w:rFonts w:hint="eastAsia" w:asciiTheme="minorEastAsia" w:hAnsiTheme="minorEastAsia" w:eastAsiaTheme="minorEastAsia" w:cstheme="minorEastAsia"/>
          <w:sz w:val="24"/>
          <w:szCs w:val="24"/>
          <w:em w:val="underDot"/>
        </w:rPr>
        <w:instrText xml:space="preserve">之</w:instrText>
      </w:r>
      <w:r>
        <w:rPr>
          <w:rFonts w:hint="eastAsia" w:asciiTheme="minorEastAsia" w:hAnsiTheme="minorEastAsia" w:eastAsiaTheme="minorEastAsia" w:cstheme="minorEastAsia"/>
          <w:sz w:val="24"/>
          <w:szCs w:val="24"/>
        </w:rPr>
        <w:instrText xml:space="preserve">,上为政者得则罚</w:instrText>
      </w:r>
      <w:r>
        <w:rPr>
          <w:rFonts w:hint="eastAsia" w:asciiTheme="minorEastAsia" w:hAnsiTheme="minorEastAsia" w:eastAsiaTheme="minorEastAsia" w:cstheme="minorEastAsia"/>
          <w:sz w:val="24"/>
          <w:szCs w:val="24"/>
          <w:em w:val="underDot"/>
        </w:rPr>
        <w:instrText xml:space="preserve">之</w:instrText>
      </w:r>
      <w:r>
        <w:rPr>
          <w:rFonts w:hint="eastAsia" w:asciiTheme="minorEastAsia" w:hAnsiTheme="minorEastAsia" w:eastAsiaTheme="minorEastAsia" w:cstheme="minorEastAsia"/>
          <w:sz w:val="24"/>
          <w:szCs w:val="24"/>
        </w:rPr>
        <w:instrText xml:space="preserve">))</w:instrText>
      </w:r>
      <w:r>
        <w:rPr>
          <w:rFonts w:hint="eastAsia" w:asciiTheme="minorEastAsia" w:hAnsiTheme="minorEastAsia" w:eastAsiaTheme="minorEastAsia" w:cstheme="minorEastAsia"/>
          <w:sz w:val="24"/>
          <w:szCs w:val="24"/>
        </w:rPr>
        <w:fldChar w:fldCharType="end"/>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(\a\vs4\al\co1(若</w:instrText>
      </w:r>
      <w:r>
        <w:rPr>
          <w:rFonts w:hint="eastAsia" w:asciiTheme="minorEastAsia" w:hAnsiTheme="minorEastAsia" w:eastAsiaTheme="minorEastAsia" w:cstheme="minorEastAsia"/>
          <w:sz w:val="24"/>
          <w:szCs w:val="24"/>
          <w:em w:val="underDot"/>
        </w:rPr>
        <w:instrText xml:space="preserve">以</w:instrText>
      </w:r>
      <w:r>
        <w:rPr>
          <w:rFonts w:hint="eastAsia" w:asciiTheme="minorEastAsia" w:hAnsiTheme="minorEastAsia" w:eastAsiaTheme="minorEastAsia" w:cstheme="minorEastAsia"/>
          <w:sz w:val="24"/>
          <w:szCs w:val="24"/>
        </w:rPr>
        <w:instrText xml:space="preserve">此说往,</w:instrText>
      </w:r>
      <w:r>
        <w:rPr>
          <w:rFonts w:hint="eastAsia" w:asciiTheme="minorEastAsia" w:hAnsiTheme="minorEastAsia" w:eastAsiaTheme="minorEastAsia" w:cstheme="minorEastAsia"/>
          <w:sz w:val="24"/>
          <w:szCs w:val="24"/>
          <w:em w:val="underDot"/>
        </w:rPr>
        <w:instrText xml:space="preserve">以</w:instrText>
      </w:r>
      <w:r>
        <w:rPr>
          <w:rFonts w:hint="eastAsia" w:asciiTheme="minorEastAsia" w:hAnsiTheme="minorEastAsia" w:eastAsiaTheme="minorEastAsia" w:cstheme="minorEastAsia"/>
          <w:sz w:val="24"/>
          <w:szCs w:val="24"/>
        </w:rPr>
        <w:instrText xml:space="preserve">亏人愈多))</w:instrTex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eq \b\lc\{\rc\ (\a\vs4\al\co1(</w:instrText>
      </w:r>
      <w:r>
        <w:rPr>
          <w:rFonts w:hint="eastAsia" w:asciiTheme="minorEastAsia" w:hAnsiTheme="minorEastAsia" w:eastAsiaTheme="minorEastAsia" w:cstheme="minorEastAsia"/>
          <w:sz w:val="24"/>
          <w:szCs w:val="24"/>
          <w:em w:val="underDot"/>
        </w:rPr>
        <w:instrText xml:space="preserve">其</w:instrText>
      </w:r>
      <w:r>
        <w:rPr>
          <w:rFonts w:hint="eastAsia" w:asciiTheme="minorEastAsia" w:hAnsiTheme="minorEastAsia" w:eastAsiaTheme="minorEastAsia" w:cstheme="minorEastAsia"/>
          <w:sz w:val="24"/>
          <w:szCs w:val="24"/>
        </w:rPr>
        <w:instrText xml:space="preserve">不仁兹甚,若知</w:instrText>
      </w:r>
      <w:r>
        <w:rPr>
          <w:rFonts w:hint="eastAsia" w:asciiTheme="minorEastAsia" w:hAnsiTheme="minorEastAsia" w:eastAsiaTheme="minorEastAsia" w:cstheme="minorEastAsia"/>
          <w:sz w:val="24"/>
          <w:szCs w:val="24"/>
          <w:em w:val="underDot"/>
        </w:rPr>
        <w:instrText xml:space="preserve">其</w:instrText>
      </w:r>
      <w:r>
        <w:rPr>
          <w:rFonts w:hint="eastAsia" w:asciiTheme="minorEastAsia" w:hAnsiTheme="minorEastAsia" w:eastAsiaTheme="minorEastAsia" w:cstheme="minorEastAsia"/>
          <w:sz w:val="24"/>
          <w:szCs w:val="24"/>
        </w:rPr>
        <w:instrText xml:space="preserve">不义也))</w:instrText>
      </w:r>
      <w:r>
        <w:rPr>
          <w:rFonts w:hint="eastAsia" w:asciiTheme="minorEastAsia" w:hAnsiTheme="minorEastAsia" w:eastAsiaTheme="minorEastAsia" w:cstheme="minorEastAsia"/>
          <w:sz w:val="24"/>
          <w:szCs w:val="24"/>
        </w:rPr>
        <w:fldChar w:fldCharType="end"/>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4．下列句子中，加点词的意义与现代汉语相同的一项是(　　)</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A．夫</w:t>
      </w:r>
      <w:r>
        <w:rPr>
          <w:rFonts w:hint="eastAsia" w:asciiTheme="minorEastAsia" w:hAnsiTheme="minorEastAsia" w:eastAsiaTheme="minorEastAsia" w:cstheme="minorEastAsia"/>
          <w:sz w:val="24"/>
          <w:szCs w:val="24"/>
          <w:em w:val="underDot"/>
        </w:rPr>
        <w:t>爱人</w:t>
      </w:r>
      <w:r>
        <w:rPr>
          <w:rFonts w:hint="eastAsia" w:asciiTheme="minorEastAsia" w:hAnsiTheme="minorEastAsia" w:eastAsiaTheme="minorEastAsia" w:cstheme="minorEastAsia"/>
          <w:sz w:val="24"/>
          <w:szCs w:val="24"/>
        </w:rPr>
        <w:t>者，人亦从而爱之</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em w:val="underDot"/>
        </w:rPr>
        <w:t>少见</w:t>
      </w:r>
      <w:r>
        <w:rPr>
          <w:rFonts w:hint="eastAsia" w:asciiTheme="minorEastAsia" w:hAnsiTheme="minorEastAsia" w:eastAsiaTheme="minorEastAsia" w:cstheme="minorEastAsia"/>
          <w:sz w:val="24"/>
          <w:szCs w:val="24"/>
        </w:rPr>
        <w:t>黑曰黑，多见黑曰白</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em w:val="underDot"/>
        </w:rPr>
      </w:pPr>
      <w:r>
        <w:rPr>
          <w:rFonts w:hint="eastAsia" w:asciiTheme="minorEastAsia" w:hAnsiTheme="minorEastAsia" w:eastAsiaTheme="minorEastAsia" w:cstheme="minorEastAsia"/>
          <w:sz w:val="24"/>
          <w:szCs w:val="24"/>
        </w:rPr>
        <w:t>C．则不知非，</w:t>
      </w:r>
      <w:r>
        <w:rPr>
          <w:rFonts w:hint="eastAsia" w:asciiTheme="minorEastAsia" w:hAnsiTheme="minorEastAsia" w:eastAsiaTheme="minorEastAsia" w:cstheme="minorEastAsia"/>
          <w:sz w:val="24"/>
          <w:szCs w:val="24"/>
          <w:em w:val="underDot"/>
        </w:rPr>
        <w:t>从而</w:t>
      </w:r>
      <w:r>
        <w:rPr>
          <w:rFonts w:hint="eastAsia" w:asciiTheme="minorEastAsia" w:hAnsiTheme="minorEastAsia" w:eastAsiaTheme="minorEastAsia" w:cstheme="minorEastAsia"/>
          <w:sz w:val="24"/>
          <w:szCs w:val="24"/>
        </w:rPr>
        <w:t>誉之</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D．故书其言以遗</w:t>
      </w:r>
      <w:r>
        <w:rPr>
          <w:rFonts w:hint="eastAsia" w:asciiTheme="minorEastAsia" w:hAnsiTheme="minorEastAsia" w:eastAsiaTheme="minorEastAsia" w:cstheme="minorEastAsia"/>
          <w:sz w:val="24"/>
          <w:szCs w:val="24"/>
          <w:em w:val="underDot"/>
        </w:rPr>
        <w:t>后世</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二、阅读理解</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阅读下面的文言文，完成文后题目。</w:t>
      </w:r>
    </w:p>
    <w:p>
      <w:pPr>
        <w:pStyle w:val="2"/>
        <w:tabs>
          <w:tab w:val="left" w:pos="2977"/>
          <w:tab w:val="left" w:pos="3402"/>
        </w:tabs>
        <w:snapToGrid w:val="0"/>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子墨子游荆耕柱子于楚。二三子过之，食之三升，客之不厚。二三子复于子墨子曰：“耕柱子处楚无益矣！二三子过之，食之三</w:t>
      </w:r>
      <w:r>
        <w:rPr>
          <w:rFonts w:hint="eastAsia" w:asciiTheme="minorEastAsia" w:hAnsiTheme="minorEastAsia" w:eastAsiaTheme="minorEastAsia" w:cstheme="minorEastAsia"/>
          <w:sz w:val="24"/>
          <w:szCs w:val="24"/>
          <w:em w:val="underDot"/>
        </w:rPr>
        <w:t>升</w:t>
      </w:r>
      <w:r>
        <w:rPr>
          <w:rFonts w:hint="eastAsia" w:asciiTheme="minorEastAsia" w:hAnsiTheme="minorEastAsia" w:eastAsiaTheme="minorEastAsia" w:cstheme="minorEastAsia"/>
          <w:sz w:val="24"/>
          <w:szCs w:val="24"/>
        </w:rPr>
        <w:t xml:space="preserve">，客之不厚。”子墨子曰：“未可智也。”毋几何而遗十金于子墨子，曰：“后生不敢死，有十金于此，愿夫子之用也。”子墨子曰：“果未可智也。” </w:t>
      </w:r>
    </w:p>
    <w:p>
      <w:pPr>
        <w:pStyle w:val="2"/>
        <w:tabs>
          <w:tab w:val="left" w:pos="2977"/>
          <w:tab w:val="left" w:pos="3402"/>
        </w:tabs>
        <w:snapToGrid w:val="0"/>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巫马子谓子墨子曰：“</w:t>
      </w:r>
      <w:r>
        <w:rPr>
          <w:rFonts w:hint="eastAsia" w:asciiTheme="minorEastAsia" w:hAnsiTheme="minorEastAsia" w:eastAsiaTheme="minorEastAsia" w:cstheme="minorEastAsia"/>
          <w:sz w:val="24"/>
          <w:szCs w:val="24"/>
          <w:u w:val="single"/>
        </w:rPr>
        <w:t>子之为义也，人不见而助，鬼不见而富，而子为之，有狂疾。</w:t>
      </w:r>
      <w:r>
        <w:rPr>
          <w:rFonts w:hint="eastAsia" w:asciiTheme="minorEastAsia" w:hAnsiTheme="minorEastAsia" w:eastAsiaTheme="minorEastAsia" w:cstheme="minorEastAsia"/>
          <w:sz w:val="24"/>
          <w:szCs w:val="24"/>
        </w:rPr>
        <w:t xml:space="preserve">”子墨子曰：“今使子有二臣于此，其一人者见子从事，不见子则不从事。其一人者见子亦从事，不见子亦从事，子谁贵于此二人？”巫马子曰：“我贵其见我亦从事，不见我亦从事者。”子墨子曰：“然则是子亦贵有狂疾者。” </w:t>
      </w:r>
    </w:p>
    <w:p>
      <w:pPr>
        <w:pStyle w:val="2"/>
        <w:tabs>
          <w:tab w:val="left" w:pos="2977"/>
          <w:tab w:val="left" w:pos="3402"/>
        </w:tabs>
        <w:snapToGrid w:val="0"/>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em w:val="underDot"/>
        </w:rPr>
        <w:t>子夏</w:t>
      </w:r>
      <w:r>
        <w:rPr>
          <w:rFonts w:hint="eastAsia" w:asciiTheme="minorEastAsia" w:hAnsiTheme="minorEastAsia" w:eastAsiaTheme="minorEastAsia" w:cstheme="minorEastAsia"/>
          <w:sz w:val="24"/>
          <w:szCs w:val="24"/>
        </w:rPr>
        <w:t>之徒问于子墨子曰：“君子有斗乎？”子墨子曰：“君子无斗。”子夏之徒曰：“狗狶犹有斗，恶有士而无斗矣？”子墨子曰：“</w:t>
      </w:r>
      <w:r>
        <w:rPr>
          <w:rFonts w:hint="eastAsia" w:asciiTheme="minorEastAsia" w:hAnsiTheme="minorEastAsia" w:eastAsiaTheme="minorEastAsia" w:cstheme="minorEastAsia"/>
          <w:sz w:val="24"/>
          <w:szCs w:val="24"/>
          <w:u w:val="single"/>
        </w:rPr>
        <w:t>伤矣哉！言则称于汤文，行则譬于狗狶，伤矣哉！</w:t>
      </w:r>
      <w:r>
        <w:rPr>
          <w:rFonts w:hint="eastAsia" w:asciiTheme="minorEastAsia" w:hAnsiTheme="minorEastAsia" w:eastAsiaTheme="minorEastAsia" w:cstheme="minorEastAsia"/>
          <w:sz w:val="24"/>
          <w:szCs w:val="24"/>
        </w:rPr>
        <w:t xml:space="preserve">” </w:t>
      </w:r>
    </w:p>
    <w:p>
      <w:pPr>
        <w:pStyle w:val="2"/>
        <w:tabs>
          <w:tab w:val="left" w:pos="2977"/>
          <w:tab w:val="left" w:pos="3402"/>
        </w:tabs>
        <w:snapToGrid w:val="0"/>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巫马子谓子墨子曰：“舍今之人而誉大王，是誉槁骨也。譬若匠人然，智槁木也，而不智生木。”子墨子曰：“</w:t>
      </w:r>
      <w:r>
        <w:rPr>
          <w:rFonts w:hint="eastAsia" w:asciiTheme="minorEastAsia" w:hAnsiTheme="minorEastAsia" w:eastAsiaTheme="minorEastAsia" w:cstheme="minorEastAsia"/>
          <w:sz w:val="24"/>
          <w:szCs w:val="24"/>
          <w:u w:val="single"/>
        </w:rPr>
        <w:t>天下之所以生者，以大王之道教也。今誉大王，是誉天下之所以生也。</w:t>
      </w:r>
      <w:r>
        <w:rPr>
          <w:rFonts w:hint="eastAsia" w:asciiTheme="minorEastAsia" w:hAnsiTheme="minorEastAsia" w:eastAsiaTheme="minorEastAsia" w:cstheme="minorEastAsia"/>
          <w:sz w:val="24"/>
          <w:szCs w:val="24"/>
        </w:rPr>
        <w:t xml:space="preserve">可誉而不誉，非仁也。” </w:t>
      </w:r>
    </w:p>
    <w:p>
      <w:pPr>
        <w:pStyle w:val="2"/>
        <w:tabs>
          <w:tab w:val="left" w:pos="2977"/>
          <w:tab w:val="left" w:pos="3402"/>
        </w:tabs>
        <w:snapToGrid w:val="0"/>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子墨子曰：“</w:t>
      </w:r>
      <w:r>
        <w:rPr>
          <w:rFonts w:hint="eastAsia" w:asciiTheme="minorEastAsia" w:hAnsiTheme="minorEastAsia" w:eastAsiaTheme="minorEastAsia" w:cstheme="minorEastAsia"/>
          <w:sz w:val="24"/>
          <w:szCs w:val="24"/>
          <w:em w:val="underDot"/>
        </w:rPr>
        <w:t>和氏之璧</w:t>
      </w:r>
      <w:r>
        <w:rPr>
          <w:rFonts w:hint="eastAsia" w:asciiTheme="minorEastAsia" w:hAnsiTheme="minorEastAsia" w:eastAsiaTheme="minorEastAsia" w:cstheme="minorEastAsia"/>
          <w:sz w:val="24"/>
          <w:szCs w:val="24"/>
        </w:rPr>
        <w:t>、隋侯之珠、三棘六异，此诸侯之所谓良宝也。可以富国家，众人民，治刑政，安</w:t>
      </w:r>
      <w:r>
        <w:rPr>
          <w:rFonts w:hint="eastAsia" w:asciiTheme="minorEastAsia" w:hAnsiTheme="minorEastAsia" w:eastAsiaTheme="minorEastAsia" w:cstheme="minorEastAsia"/>
          <w:sz w:val="24"/>
          <w:szCs w:val="24"/>
          <w:em w:val="underDot"/>
        </w:rPr>
        <w:t>社稷</w:t>
      </w:r>
      <w:r>
        <w:rPr>
          <w:rFonts w:hint="eastAsia" w:asciiTheme="minorEastAsia" w:hAnsiTheme="minorEastAsia" w:eastAsiaTheme="minorEastAsia" w:cstheme="minorEastAsia"/>
          <w:sz w:val="24"/>
          <w:szCs w:val="24"/>
        </w:rPr>
        <w:t>乎？曰：不可。所为贵良宝者，为其可以利民也。而和氏之璧、隋侯之珠、三棘六异，不可以利人，是非天下之良宝也。</w:t>
      </w:r>
      <w:r>
        <w:rPr>
          <w:rFonts w:hint="eastAsia" w:asciiTheme="minorEastAsia" w:hAnsiTheme="minorEastAsia" w:eastAsiaTheme="minorEastAsia" w:cstheme="minorEastAsia"/>
          <w:sz w:val="24"/>
          <w:szCs w:val="24"/>
          <w:u w:val="wave"/>
        </w:rPr>
        <w:t>今用义为政于国家国家必富人民必众刑政必治社稷必安所为贵良宝者可以利民也而义可以利人故曰义天下之良宝也</w:t>
      </w:r>
      <w:r>
        <w:rPr>
          <w:rFonts w:hint="eastAsia" w:asciiTheme="minorEastAsia" w:hAnsiTheme="minorEastAsia" w:eastAsiaTheme="minorEastAsia" w:cstheme="minorEastAsia"/>
          <w:sz w:val="24"/>
          <w:szCs w:val="24"/>
        </w:rPr>
        <w:t>。”</w:t>
      </w:r>
    </w:p>
    <w:p>
      <w:pPr>
        <w:pStyle w:val="2"/>
        <w:tabs>
          <w:tab w:val="left" w:pos="2977"/>
          <w:tab w:val="left" w:pos="3402"/>
        </w:tabs>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(节选自《耕柱第四十六》)</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5．下列对文中画波浪线部分的断句，正确的一项是(　　)</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A．今用义为政于国家/国家必富人民必众/刑政必治/社稷必安/所为贵良宝者/可以利民也/而义可以利人/故曰义/天下之良宝也</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B．今用义/为政于国家/国家必富/人民必众/刑政必治社稷必安/所为贵良宝者/可以利民也/而义可以利人/故曰/义天下之良宝也</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C．今用义/为政于国家/国家必富/人民必众/刑政必治/社稷必安/所为贵良宝者可以利民也/而义可以利人/故曰/义天下之良宝也</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D．今用义为政于国家/国家必富/人民必众/刑政必治/社稷必安/所为贵良宝者/可以利民也/而义可以利人/故曰/义/天下之良宝也</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6．下列对文中加点词语的相关内容的解说，不正确的一项是(　　)</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A．升，文中指容量单位。十合为一升，十升为一斗。公制一升为1 000毫升，合一市升。量粮食的器具也叫“升”。</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B．子夏，姓卜名商，战国时晋国人，孔子的学生，“孔门十哲”之一，“七十二贤”之一。</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C．和氏璧是中国历史上著名的美玉，在它流传的数百年间，被奉为“无价之宝”的“天下所共传之宝”，又称和氏之璧、荆玉、荆虹、荆璧、和璧、和璞。为天下奇宝。</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D．社稷，土神和谷神的总称。“社”为土神，“稷”为谷神。土神和谷神是在以农为本的中华民族最重要的原始崇拜物。</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7．下列对原文有关内容的概括和分析，不正确的一项是(　　)</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A．墨子听了弟子们回来后的介绍，相信了他们的话，觉得事情很让人生气。</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B．墨子认为，行义不要以别人看得见、看不见为标准，应该时刻坚持。</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C．巫马子认为赞美先王是不可取的，而墨子则看得更远，因为他看到了先代的道德教训，赞美先王就是赞美能够生存的原因。</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D．在墨子眼里，和氏之璧、隋侯之珠、三棘六异都算不得宝物，只有“义”才是最大的宝物。</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阅读下面的语段，补写出最后一句话。 </w:t>
      </w:r>
    </w:p>
    <w:p>
      <w:pPr>
        <w:pStyle w:val="2"/>
        <w:tabs>
          <w:tab w:val="left" w:pos="2977"/>
          <w:tab w:val="left" w:pos="3402"/>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墨子》中有这样一个故事：子禽问他的老师墨子：“老师，多说话好不好？”墨子回答说：“多说话有什么好？比如池塘里的青蛙，整天整夜地叫着，可是没有人去理会它，鸡棚里的雄鸡；只在天亮时啼叫两三次，大家就知道天要亮了；所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_________________________。”</w:t>
      </w:r>
    </w:p>
    <w:p>
      <w:pPr>
        <w:pStyle w:val="2"/>
        <w:numPr>
          <w:ilvl w:val="0"/>
          <w:numId w:val="1"/>
        </w:numPr>
        <w:tabs>
          <w:tab w:val="left" w:pos="2977"/>
          <w:tab w:val="left" w:pos="3402"/>
        </w:tabs>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微写作练习</w:t>
      </w:r>
    </w:p>
    <w:p>
      <w:pPr>
        <w:pStyle w:val="2"/>
        <w:numPr>
          <w:ilvl w:val="0"/>
          <w:numId w:val="0"/>
        </w:numPr>
        <w:tabs>
          <w:tab w:val="left" w:pos="2977"/>
          <w:tab w:val="left" w:pos="3402"/>
        </w:tabs>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儒墨两家分别主张“仁爱”与“兼爱”，且两家都处于春秋战国的社会动乱时期，都怀着安邦定国、终止昏乱纷争的理想。请阅读以下材料，结合所学，谈一谈儒家和墨家“仁爱”“兼爱”之区别。</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“孩提之童，无不知爱其亲者；及其长也，无不知敬其兄也。亲亲，仁也；敬长，义也。无他，达之天下也。”（《孟子·尽心上》</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2“仁之实，事亲是也；义之实，从兄是也。”（《孟子·离娄上》）3.“亲亲，敬长。”；“父子有亲。”（《孟子·滕文公上》）</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4.“仁者，人也，亲亲为大。”（《中庸》）</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5.子曰：“弟子入则孝，出则悌，谨而信，泛爱众，而亲仁。”（《论语・学而》）。</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6.“以仁为爱体，爱为人用。”（《论语・或问》）</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7.颜渊问仁。子曰：“克己复礼为仁。一日克己复礼，天下归仁焉。为仁由己，而由人乎哉？”（《论语．颜渊》）</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8.“视人之国，若视其国，视人之家，若视其家，视人之身，若视其身。”“况于兼相爱、交相利，则与此异！夫爱人者，人必从而爱之；利人者，人必从而利之；恶人者，人必从而恶之；害人者，人必从而害之。此何难之有？特上弗以为政、士不以为行故也。”（《墨子・兼爱中》）</w:t>
      </w:r>
    </w:p>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9.“名不徒生而誉不自长。”（《墨子・修身》）</w:t>
      </w:r>
    </w:p>
    <w:tbl>
      <w:tblPr>
        <w:tblStyle w:val="3"/>
        <w:tblW w:w="8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405"/>
        <w:gridCol w:w="403"/>
        <w:gridCol w:w="403"/>
        <w:gridCol w:w="438"/>
        <w:gridCol w:w="439"/>
        <w:gridCol w:w="439"/>
        <w:gridCol w:w="405"/>
        <w:gridCol w:w="406"/>
        <w:gridCol w:w="406"/>
        <w:gridCol w:w="406"/>
        <w:gridCol w:w="407"/>
        <w:gridCol w:w="407"/>
        <w:gridCol w:w="407"/>
        <w:gridCol w:w="407"/>
        <w:gridCol w:w="407"/>
        <w:gridCol w:w="407"/>
        <w:gridCol w:w="407"/>
        <w:gridCol w:w="407"/>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hint="eastAsia"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hint="eastAsia" w:ascii="宋体" w:hAnsi="宋体"/>
                <w:sz w:val="10"/>
                <w:szCs w:val="10"/>
              </w:rPr>
            </w:pPr>
            <w:r>
              <w:rPr>
                <w:rFonts w:hint="eastAsia" w:ascii="宋体" w:hAnsi="宋体"/>
                <w:sz w:val="10"/>
                <w:szCs w:val="1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hint="eastAsia" w:ascii="宋体" w:hAnsi="宋体"/>
                <w:sz w:val="10"/>
                <w:szCs w:val="10"/>
              </w:rPr>
            </w:pPr>
            <w:r>
              <w:rPr>
                <w:rFonts w:hint="eastAsia" w:ascii="宋体" w:hAnsi="宋体"/>
                <w:sz w:val="10"/>
                <w:szCs w:val="1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23" w:type="dxa"/>
            <w:gridSpan w:val="20"/>
            <w:noWrap w:val="0"/>
            <w:vAlign w:val="top"/>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03" w:type="dxa"/>
            <w:noWrap w:val="0"/>
            <w:vAlign w:val="top"/>
          </w:tcPr>
          <w:p>
            <w:pPr>
              <w:spacing w:line="0" w:lineRule="atLeast"/>
              <w:rPr>
                <w:rFonts w:ascii="宋体" w:hAnsi="宋体"/>
                <w:sz w:val="28"/>
                <w:szCs w:val="28"/>
              </w:rPr>
            </w:pPr>
          </w:p>
        </w:tc>
        <w:tc>
          <w:tcPr>
            <w:tcW w:w="438"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39" w:type="dxa"/>
            <w:noWrap w:val="0"/>
            <w:vAlign w:val="top"/>
          </w:tcPr>
          <w:p>
            <w:pPr>
              <w:spacing w:line="0" w:lineRule="atLeast"/>
              <w:rPr>
                <w:rFonts w:ascii="宋体" w:hAnsi="宋体"/>
                <w:sz w:val="28"/>
                <w:szCs w:val="28"/>
              </w:rPr>
            </w:pPr>
          </w:p>
        </w:tc>
        <w:tc>
          <w:tcPr>
            <w:tcW w:w="405"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6"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07" w:type="dxa"/>
            <w:noWrap w:val="0"/>
            <w:vAlign w:val="top"/>
          </w:tcPr>
          <w:p>
            <w:pPr>
              <w:spacing w:line="0" w:lineRule="atLeast"/>
              <w:rPr>
                <w:rFonts w:ascii="宋体" w:hAnsi="宋体"/>
                <w:sz w:val="28"/>
                <w:szCs w:val="28"/>
              </w:rPr>
            </w:pPr>
          </w:p>
        </w:tc>
        <w:tc>
          <w:tcPr>
            <w:tcW w:w="412" w:type="dxa"/>
            <w:noWrap w:val="0"/>
            <w:vAlign w:val="top"/>
          </w:tcPr>
          <w:p>
            <w:pPr>
              <w:spacing w:line="0" w:lineRule="atLeast"/>
              <w:rPr>
                <w:rFonts w:ascii="宋体" w:hAnsi="宋体"/>
                <w:sz w:val="28"/>
                <w:szCs w:val="28"/>
              </w:rPr>
            </w:pPr>
          </w:p>
        </w:tc>
      </w:tr>
    </w:tbl>
    <w:p>
      <w:pPr>
        <w:pStyle w:val="2"/>
        <w:numPr>
          <w:ilvl w:val="0"/>
          <w:numId w:val="0"/>
        </w:numPr>
        <w:tabs>
          <w:tab w:val="left" w:pos="2977"/>
          <w:tab w:val="left" w:pos="3402"/>
        </w:tabs>
        <w:snapToGrid w:val="0"/>
        <w:spacing w:line="360" w:lineRule="auto"/>
        <w:rPr>
          <w:rFonts w:hint="default" w:asciiTheme="minorEastAsia" w:hAnsiTheme="minorEastAsia" w:eastAsiaTheme="minorEastAsia" w:cstheme="minorEastAsia"/>
          <w:sz w:val="24"/>
          <w:szCs w:val="24"/>
          <w:lang w:val="en-US" w:eastAsia="zh-CN"/>
        </w:rPr>
      </w:pPr>
    </w:p>
    <w:p>
      <w:pPr>
        <w:rPr>
          <w:rFonts w:hint="default" w:asciiTheme="minorEastAsia" w:hAnsiTheme="minorEastAsia" w:eastAsiaTheme="minorEastAsia" w:cstheme="minorEastAsia"/>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B8679"/>
    <w:multiLevelType w:val="singleLevel"/>
    <w:tmpl w:val="D3AB86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F50B6"/>
    <w:rsid w:val="515663FB"/>
    <w:rsid w:val="5BCA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2020-04-09T02:33:00Z</dcterms:created>
  <dc:creator>贾婷琬</dc:creator>
  <cp:lastModifiedBy>KK</cp:lastModifiedBy>
  <dcterms:modified xsi:type="dcterms:W3CDTF">2020-04-15T06:14:17Z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