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" w:firstLineChars="98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高二年级化学《</w:t>
      </w:r>
      <w:r>
        <w:rPr>
          <w:rFonts w:hint="eastAsia"/>
          <w:b/>
          <w:bCs/>
          <w:sz w:val="32"/>
          <w:szCs w:val="40"/>
          <w:lang w:eastAsia="zh-CN"/>
        </w:rPr>
        <w:t>弱电解质的电离</w:t>
      </w:r>
      <w:r>
        <w:rPr>
          <w:rFonts w:hint="eastAsia"/>
          <w:b/>
          <w:bCs/>
          <w:sz w:val="32"/>
          <w:szCs w:val="40"/>
          <w:lang w:val="en-US" w:eastAsia="zh-CN"/>
        </w:rPr>
        <w:t>1</w:t>
      </w:r>
      <w:r>
        <w:rPr>
          <w:rFonts w:hint="eastAsia"/>
          <w:b/>
          <w:bCs/>
          <w:sz w:val="32"/>
          <w:szCs w:val="40"/>
        </w:rPr>
        <w:t>》学习指南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2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学习主题</w:t>
            </w:r>
          </w:p>
        </w:tc>
        <w:tc>
          <w:tcPr>
            <w:tcW w:w="749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eastAsia="zh-CN"/>
              </w:rPr>
              <w:t>弱电解质的电离</w:t>
            </w: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17" w:type="dxa"/>
          </w:tcPr>
          <w:p>
            <w:pP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学习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目标</w:t>
            </w:r>
          </w:p>
        </w:tc>
        <w:tc>
          <w:tcPr>
            <w:tcW w:w="749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能用化学用语正确表示水溶液中的离子反应与平衡，能通过实验证明水溶液中存在的离子平衡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17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法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指导</w:t>
            </w:r>
          </w:p>
        </w:tc>
        <w:tc>
          <w:tcPr>
            <w:tcW w:w="7494" w:type="dxa"/>
          </w:tcPr>
          <w:p>
            <w:pPr>
              <w:pStyle w:val="14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1、通过对比、分析，学会探究化学原理的一般方法。</w:t>
            </w:r>
          </w:p>
          <w:p>
            <w:pPr>
              <w:pStyle w:val="14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2、通过探究活动，体验如何通过定量实验推导化学原理。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学习内容</w:t>
            </w:r>
          </w:p>
        </w:tc>
        <w:tc>
          <w:tcPr>
            <w:tcW w:w="7494" w:type="dxa"/>
          </w:tcPr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【任务一】</w:t>
            </w:r>
            <w:r>
              <w:rPr>
                <w:rFonts w:hint="eastAsia"/>
                <w:bCs/>
                <w:lang w:eastAsia="zh-CN"/>
              </w:rPr>
              <w:t>猜想同浓度（0.1mol/L）、同温度下的HCl和CH</w:t>
            </w:r>
            <w:r>
              <w:rPr>
                <w:rFonts w:hint="eastAsia"/>
                <w:bCs/>
                <w:vertAlign w:val="subscript"/>
                <w:lang w:eastAsia="zh-CN"/>
              </w:rPr>
              <w:t>3</w:t>
            </w:r>
            <w:r>
              <w:rPr>
                <w:rFonts w:hint="eastAsia"/>
                <w:bCs/>
                <w:lang w:eastAsia="zh-CN"/>
              </w:rPr>
              <w:t>COOH的导电性是否相同？并设计实验进行验证。</w:t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方案一：测定相同浓度的盐酸和醋酸溶液，其导电性强弱。</w:t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方案二：比较相同浓度的盐酸、醋酸溶液与等量的金属(如镁)反应的速率。</w:t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实验备选用品：</w:t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 xml:space="preserve">0.1 mol/L 盐酸    0.1 mol/L 醋酸    镁条（大小相同、质量相同）  水 </w:t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方案三：测定相同浓度的盐酸和醋酸溶液的C(H</w:t>
            </w:r>
            <w:r>
              <w:rPr>
                <w:rFonts w:hint="eastAsia"/>
                <w:bCs/>
                <w:vertAlign w:val="superscript"/>
                <w:lang w:eastAsia="zh-CN"/>
              </w:rPr>
              <w:t>+</w:t>
            </w:r>
            <w:r>
              <w:rPr>
                <w:rFonts w:hint="eastAsia"/>
                <w:bCs/>
                <w:lang w:eastAsia="zh-CN"/>
              </w:rPr>
              <w:t>)。</w:t>
            </w:r>
          </w:p>
          <w:p>
            <w:pPr>
              <w:spacing w:line="40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实验备选用品：</w:t>
            </w:r>
          </w:p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0.1 mol/L 盐酸      0.1 mol/L 醋酸      pH试纸     水  </w:t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【任务二】</w:t>
            </w:r>
            <w:r>
              <w:rPr>
                <w:rFonts w:hint="eastAsia"/>
                <w:bCs/>
                <w:lang w:eastAsia="zh-CN"/>
              </w:rPr>
              <w:t>设计实验证明醋酸的电离过程是动态过程。</w:t>
            </w:r>
          </w:p>
          <w:tbl>
            <w:tblPr>
              <w:tblStyle w:val="6"/>
              <w:tblpPr w:leftFromText="180" w:rightFromText="180" w:vertAnchor="page" w:horzAnchor="page" w:tblpX="244" w:tblpY="4140"/>
              <w:tblOverlap w:val="never"/>
              <w:tblW w:w="6893" w:type="dxa"/>
              <w:tblCellSpacing w:w="0" w:type="dxa"/>
              <w:tblInd w:w="0" w:type="dxa"/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0"/>
              <w:gridCol w:w="4123"/>
              <w:gridCol w:w="645"/>
              <w:gridCol w:w="70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1" w:hRule="atLeast"/>
                <w:tblCellSpacing w:w="0" w:type="dxa"/>
              </w:trPr>
              <w:tc>
                <w:tcPr>
                  <w:tcW w:w="142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6096E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>实验编号</w:t>
                  </w:r>
                </w:p>
              </w:tc>
              <w:tc>
                <w:tcPr>
                  <w:tcW w:w="4123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6096E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>试剂</w:t>
                  </w:r>
                </w:p>
              </w:tc>
              <w:tc>
                <w:tcPr>
                  <w:tcW w:w="645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6096E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>pH</w:t>
                  </w:r>
                </w:p>
              </w:tc>
              <w:tc>
                <w:tcPr>
                  <w:tcW w:w="705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6096E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  <w:tblCellSpacing w:w="0" w:type="dxa"/>
              </w:trPr>
              <w:tc>
                <w:tcPr>
                  <w:tcW w:w="1420" w:type="dxa"/>
                  <w:vMerge w:val="restart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2DD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对比试验组1</w:t>
                  </w:r>
                </w:p>
              </w:tc>
              <w:tc>
                <w:tcPr>
                  <w:tcW w:w="4123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2DD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0.1mol/L HCl</w:t>
                  </w:r>
                </w:p>
              </w:tc>
              <w:tc>
                <w:tcPr>
                  <w:tcW w:w="645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2DD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Merge w:val="restart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2DD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1" w:hRule="atLeast"/>
                <w:tblCellSpacing w:w="0" w:type="dxa"/>
              </w:trPr>
              <w:tc>
                <w:tcPr>
                  <w:tcW w:w="1420" w:type="dxa"/>
                  <w:vMerge w:val="continue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2DD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4123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EAEF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0.1mol/L HCl + NaCl(s)</w:t>
                  </w:r>
                </w:p>
              </w:tc>
              <w:tc>
                <w:tcPr>
                  <w:tcW w:w="645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EAEF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Merge w:val="continue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2DD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8" w:hRule="atLeast"/>
                <w:tblCellSpacing w:w="0" w:type="dxa"/>
              </w:trPr>
              <w:tc>
                <w:tcPr>
                  <w:tcW w:w="1420" w:type="dxa"/>
                  <w:vMerge w:val="restart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2DD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-200660</wp:posOffset>
                            </wp:positionH>
                            <wp:positionV relativeFrom="paragraph">
                              <wp:posOffset>548005</wp:posOffset>
                            </wp:positionV>
                            <wp:extent cx="719455" cy="300990"/>
                            <wp:effectExtent l="0" t="0" r="4445" b="3810"/>
                            <wp:wrapNone/>
                            <wp:docPr id="2" name="标题 1"/>
                            <wp:cNvGraphicFramePr>
                              <a:graphicFrameLocks xmlns:a="http://schemas.openxmlformats.org/drawingml/2006/main" noGrp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Grp="1"/>
                                  </wps:cNvSpPr>
                                  <wps:spPr>
                                    <a:xfrm>
                                      <a:off x="0" y="0"/>
                                      <a:ext cx="719455" cy="300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14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kinsoku/>
                                          <w:spacing w:line="240" w:lineRule="auto"/>
                                          <w:jc w:val="left"/>
                                          <w:textAlignment w:val="top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黑体" w:eastAsia="黑体" w:hAnsiTheme="majorBidi"/>
                                            <w:b/>
                                            <w:color w:val="262626" w:themeColor="text1" w:themeTint="D9"/>
                                            <w:kern w:val="24"/>
                                            <w:sz w:val="21"/>
                                            <w:szCs w:val="21"/>
                                            <w14:textFill>
                                              <w14:solidFill>
                                                <w14:schemeClr w14:val="tx1">
                                                  <w14:lumMod w14:val="85000"/>
                                                  <w14:lumOff w14:val="1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  <w:t>课堂练习</w:t>
                                        </w:r>
                                      </w:p>
                                    </w:txbxContent>
                                  </wps:txbx>
                                  <wps:bodyPr vert="horz" lIns="90000" tIns="46800" rIns="90000" bIns="46800" rtlCol="0" anchor="ctr" anchorCtr="0">
                                    <a:normAutofit fontScale="90000"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标题 1" o:spid="_x0000_s1026" o:spt="1" style="position:absolute;left:0pt;margin-left:-15.8pt;margin-top:43.15pt;height:23.7pt;width:56.65pt;z-index:251658240;v-text-anchor:middle;mso-width-relative:page;mso-height-relative:page;" fillcolor="#FFFF00" filled="t" stroked="f" coordsize="21600,21600" o:gfxdata="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FIxr2AAA&#10;AAkBAAAPAAAAAAAAAAEAIAAAACIAAABkcnMvZG93bnJldi54bWxQSwECFAAUAAAACACHTuJA+hE0&#10;fuUBAACuAwAADgAAAAAAAAABACAAAAAnAQAAZHJzL2Uyb0RvYy54bWxQSwUGAAAAAAYABgBZAQAA&#10;fgUAAAAA&#10;">
                            <v:fill on="t" focussize="0,0"/>
                            <v:stroke on="f"/>
                            <v:imagedata o:title=""/>
                            <o:lock v:ext="edit" grouping="t" aspectratio="f"/>
                            <v:textbox inset="2.5mm,1.3mm,2.5mm,1.3mm">
                              <w:txbxContent>
                                <w:p>
                                  <w:pPr>
                                    <w:pStyle w:val="14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spacing w:line="240" w:lineRule="auto"/>
                                    <w:jc w:val="left"/>
                                    <w:textAlignment w:val="top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Theme="majorBidi"/>
                                      <w:b/>
                                      <w:color w:val="262626" w:themeColor="text1" w:themeTint="D9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t>课堂练习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color w:val="FF0000"/>
                      <w:sz w:val="18"/>
                      <w:szCs w:val="18"/>
                    </w:rPr>
                    <w:t>对比实验组2</w:t>
                  </w:r>
                </w:p>
              </w:tc>
              <w:tc>
                <w:tcPr>
                  <w:tcW w:w="4123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2DD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0.1mol/LCH</w:t>
                  </w:r>
                  <w:r>
                    <w:rPr>
                      <w:rFonts w:hint="default" w:ascii="Times New Roman" w:hAnsi="Times New Roman" w:cs="Times New Roman"/>
                      <w:b/>
                      <w:color w:val="FF0000"/>
                      <w:sz w:val="18"/>
                      <w:szCs w:val="18"/>
                      <w:vertAlign w:val="subscript"/>
                    </w:rPr>
                    <w:t>3</w:t>
                  </w:r>
                  <w:r>
                    <w:rPr>
                      <w:rFonts w:hint="default"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COOH</w:t>
                  </w:r>
                </w:p>
              </w:tc>
              <w:tc>
                <w:tcPr>
                  <w:tcW w:w="645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2DD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Merge w:val="restart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2DD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 w:hRule="atLeast"/>
                <w:tblCellSpacing w:w="0" w:type="dxa"/>
              </w:trPr>
              <w:tc>
                <w:tcPr>
                  <w:tcW w:w="1420" w:type="dxa"/>
                  <w:vMerge w:val="continue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2DD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4123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EAEF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0.1mol/LCH</w:t>
                  </w:r>
                  <w:r>
                    <w:rPr>
                      <w:rFonts w:hint="default" w:ascii="Times New Roman" w:hAnsi="Times New Roman" w:cs="Times New Roman"/>
                      <w:b/>
                      <w:color w:val="FF0000"/>
                      <w:sz w:val="18"/>
                      <w:szCs w:val="18"/>
                      <w:vertAlign w:val="subscript"/>
                    </w:rPr>
                    <w:t>3</w:t>
                  </w:r>
                  <w:r>
                    <w:rPr>
                      <w:rFonts w:hint="default"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COOH + CH</w:t>
                  </w:r>
                  <w:r>
                    <w:rPr>
                      <w:rFonts w:hint="default" w:ascii="Times New Roman" w:hAnsi="Times New Roman" w:cs="Times New Roman"/>
                      <w:b/>
                      <w:color w:val="FF0000"/>
                      <w:sz w:val="18"/>
                      <w:szCs w:val="18"/>
                      <w:vertAlign w:val="subscript"/>
                    </w:rPr>
                    <w:t>3</w:t>
                  </w:r>
                  <w:r>
                    <w:rPr>
                      <w:rFonts w:hint="default"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COONH</w:t>
                  </w:r>
                  <w:r>
                    <w:rPr>
                      <w:rFonts w:hint="default" w:ascii="Times New Roman" w:hAnsi="Times New Roman" w:cs="Times New Roman"/>
                      <w:b/>
                      <w:color w:val="FF0000"/>
                      <w:sz w:val="18"/>
                      <w:szCs w:val="18"/>
                      <w:vertAlign w:val="subscript"/>
                    </w:rPr>
                    <w:t>4</w:t>
                  </w:r>
                  <w:r>
                    <w:rPr>
                      <w:rFonts w:hint="default"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(s)</w:t>
                  </w:r>
                </w:p>
              </w:tc>
              <w:tc>
                <w:tcPr>
                  <w:tcW w:w="645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EAEF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Merge w:val="continue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2DD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2.下列说法中，正确的是                （    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A．强电解质一定都是离子化合物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B．溶于水的强电解质在水中完全电离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C．强电解质在水中溶解度一定大于弱电解质</w:t>
            </w:r>
          </w:p>
          <w:p>
            <w:pPr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</w:rPr>
              <w:t>D．强电解质溶液的导电性一定大于弱电解质</w:t>
            </w:r>
          </w:p>
          <w:p>
            <w:pPr>
              <w:spacing w:line="400" w:lineRule="exact"/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Cs/>
          <w:sz w:val="28"/>
          <w:szCs w:val="36"/>
          <w:lang w:eastAsia="zh-CN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Y95+ZMGGP4-9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53CB1"/>
    <w:rsid w:val="00001201"/>
    <w:rsid w:val="00025424"/>
    <w:rsid w:val="000661F5"/>
    <w:rsid w:val="000A4D95"/>
    <w:rsid w:val="000F5DAF"/>
    <w:rsid w:val="00170E9E"/>
    <w:rsid w:val="001E3B32"/>
    <w:rsid w:val="00203E8A"/>
    <w:rsid w:val="00332206"/>
    <w:rsid w:val="00420E3B"/>
    <w:rsid w:val="00586F79"/>
    <w:rsid w:val="0061680C"/>
    <w:rsid w:val="007654AD"/>
    <w:rsid w:val="007968AF"/>
    <w:rsid w:val="007B3691"/>
    <w:rsid w:val="007B46EE"/>
    <w:rsid w:val="008C5EA9"/>
    <w:rsid w:val="008D04C7"/>
    <w:rsid w:val="00917F68"/>
    <w:rsid w:val="009602DB"/>
    <w:rsid w:val="00994F25"/>
    <w:rsid w:val="00995A10"/>
    <w:rsid w:val="00A60B49"/>
    <w:rsid w:val="00B72DDB"/>
    <w:rsid w:val="00BC2334"/>
    <w:rsid w:val="00BD35B4"/>
    <w:rsid w:val="00C541F3"/>
    <w:rsid w:val="00C65FF5"/>
    <w:rsid w:val="00C82CAA"/>
    <w:rsid w:val="00D81C37"/>
    <w:rsid w:val="00E43211"/>
    <w:rsid w:val="00E50BF9"/>
    <w:rsid w:val="00E90EA7"/>
    <w:rsid w:val="00EA3FF3"/>
    <w:rsid w:val="00EA7D24"/>
    <w:rsid w:val="00F23BD9"/>
    <w:rsid w:val="0EB40C36"/>
    <w:rsid w:val="14D33180"/>
    <w:rsid w:val="1FAD0ADA"/>
    <w:rsid w:val="20DE095E"/>
    <w:rsid w:val="21106E25"/>
    <w:rsid w:val="38E10BAE"/>
    <w:rsid w:val="406F42DD"/>
    <w:rsid w:val="46D44960"/>
    <w:rsid w:val="5A3C3B64"/>
    <w:rsid w:val="5D314AA8"/>
    <w:rsid w:val="6E6D2F24"/>
    <w:rsid w:val="7A653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fontstyle01"/>
    <w:basedOn w:val="8"/>
    <w:qFormat/>
    <w:uiPriority w:val="0"/>
    <w:rPr>
      <w:rFonts w:hint="default" w:ascii="DY95+ZMGGP4-95" w:hAnsi="DY95+ZMGGP4-95"/>
      <w:color w:val="000000"/>
      <w:sz w:val="20"/>
      <w:szCs w:val="20"/>
    </w:rPr>
  </w:style>
  <w:style w:type="character" w:customStyle="1" w:styleId="12">
    <w:name w:val="fontstyle11"/>
    <w:basedOn w:val="8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3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31</Characters>
  <Lines>1</Lines>
  <Paragraphs>1</Paragraphs>
  <TotalTime>2</TotalTime>
  <ScaleCrop>false</ScaleCrop>
  <LinksUpToDate>false</LinksUpToDate>
  <CharactersWithSpaces>402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2020-02-04T10:47:00Z</dcterms:created>
  <dc:creator>Administrator</dc:creator>
  <cp:lastModifiedBy>京海一粟</cp:lastModifiedBy>
  <dcterms:modified xsi:type="dcterms:W3CDTF">2020-04-25T09:22:13Z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