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87" w:rsidRPr="006B5762" w:rsidRDefault="006B5762" w:rsidP="006B5762">
      <w:pPr>
        <w:tabs>
          <w:tab w:val="left" w:pos="1868"/>
          <w:tab w:val="center" w:pos="4213"/>
        </w:tabs>
        <w:spacing w:line="360" w:lineRule="auto"/>
        <w:jc w:val="center"/>
        <w:rPr>
          <w:b/>
          <w:sz w:val="24"/>
        </w:rPr>
      </w:pPr>
      <w:r>
        <w:rPr>
          <w:rFonts w:hint="eastAsia"/>
          <w:b/>
          <w:sz w:val="24"/>
        </w:rPr>
        <w:t>课题：</w:t>
      </w:r>
      <w:r w:rsidR="00F12CA4">
        <w:rPr>
          <w:rFonts w:hint="eastAsia"/>
          <w:b/>
          <w:sz w:val="24"/>
        </w:rPr>
        <w:t>服务业区位因素及其变化</w:t>
      </w:r>
      <w:r w:rsidR="00104A7D">
        <w:rPr>
          <w:rFonts w:ascii="黑体" w:eastAsia="黑体" w:hAnsi="黑体" w:cs="黑体" w:hint="eastAsia"/>
          <w:b/>
          <w:sz w:val="24"/>
        </w:rPr>
        <w:t>——学习任务单</w:t>
      </w:r>
    </w:p>
    <w:p w:rsidR="00024F87" w:rsidRDefault="00104A7D">
      <w:pPr>
        <w:adjustRightInd w:val="0"/>
        <w:snapToGrid w:val="0"/>
        <w:spacing w:line="360" w:lineRule="auto"/>
        <w:jc w:val="left"/>
        <w:rPr>
          <w:rFonts w:ascii="宋体" w:eastAsia="宋体" w:hAnsi="宋体"/>
          <w:b/>
          <w:bCs/>
          <w:color w:val="FF0000"/>
        </w:rPr>
      </w:pPr>
      <w:r>
        <w:rPr>
          <w:rFonts w:ascii="宋体" w:eastAsia="宋体" w:hAnsi="宋体" w:hint="eastAsia"/>
          <w:b/>
          <w:bCs/>
          <w:color w:val="FF0000"/>
        </w:rPr>
        <w:t>【学习目标】</w:t>
      </w:r>
    </w:p>
    <w:p w:rsidR="00465896" w:rsidRPr="00F12CA4" w:rsidRDefault="00F12CA4" w:rsidP="00465896">
      <w:pPr>
        <w:adjustRightInd w:val="0"/>
        <w:snapToGrid w:val="0"/>
        <w:spacing w:line="360" w:lineRule="auto"/>
        <w:jc w:val="left"/>
        <w:rPr>
          <w:rFonts w:ascii="宋体" w:eastAsia="宋体" w:hAnsi="宋体"/>
          <w:b/>
          <w:bCs/>
          <w:color w:val="FF0000"/>
        </w:rPr>
      </w:pPr>
      <w:r w:rsidRPr="00F12CA4">
        <w:rPr>
          <w:rFonts w:ascii="宋体" w:eastAsia="宋体" w:hAnsi="宋体" w:hint="eastAsia"/>
          <w:b/>
          <w:bCs/>
          <w:color w:val="FF0000"/>
        </w:rPr>
        <w:t>结合实例，说明</w:t>
      </w:r>
      <w:r>
        <w:rPr>
          <w:rFonts w:ascii="宋体" w:eastAsia="宋体" w:hAnsi="宋体" w:hint="eastAsia"/>
          <w:b/>
          <w:bCs/>
          <w:color w:val="FF0000"/>
        </w:rPr>
        <w:t>影响</w:t>
      </w:r>
      <w:r w:rsidR="00E175B6">
        <w:rPr>
          <w:rFonts w:ascii="宋体" w:eastAsia="宋体" w:hAnsi="宋体" w:hint="eastAsia"/>
          <w:b/>
          <w:bCs/>
          <w:color w:val="FF0000"/>
        </w:rPr>
        <w:t>不同类别</w:t>
      </w:r>
      <w:r>
        <w:rPr>
          <w:rFonts w:ascii="宋体" w:eastAsia="宋体" w:hAnsi="宋体" w:hint="eastAsia"/>
          <w:b/>
          <w:bCs/>
          <w:color w:val="FF0000"/>
        </w:rPr>
        <w:t>服务业</w:t>
      </w:r>
      <w:r w:rsidRPr="00F12CA4">
        <w:rPr>
          <w:rFonts w:ascii="宋体" w:eastAsia="宋体" w:hAnsi="宋体" w:hint="eastAsia"/>
          <w:b/>
          <w:bCs/>
          <w:color w:val="FF0000"/>
        </w:rPr>
        <w:t>区位</w:t>
      </w:r>
      <w:r>
        <w:rPr>
          <w:rFonts w:ascii="宋体" w:eastAsia="宋体" w:hAnsi="宋体" w:hint="eastAsia"/>
          <w:b/>
          <w:bCs/>
          <w:color w:val="FF0000"/>
        </w:rPr>
        <w:t>选择的</w:t>
      </w:r>
      <w:r w:rsidR="009D72CC">
        <w:rPr>
          <w:rFonts w:ascii="宋体" w:eastAsia="宋体" w:hAnsi="宋体" w:hint="eastAsia"/>
          <w:b/>
          <w:bCs/>
          <w:color w:val="FF0000"/>
        </w:rPr>
        <w:t>主要</w:t>
      </w:r>
      <w:r>
        <w:rPr>
          <w:rFonts w:ascii="宋体" w:eastAsia="宋体" w:hAnsi="宋体" w:hint="eastAsia"/>
          <w:b/>
          <w:bCs/>
          <w:color w:val="FF0000"/>
        </w:rPr>
        <w:t>因素及其变化。</w:t>
      </w:r>
    </w:p>
    <w:p w:rsidR="00E97469" w:rsidRPr="000C30A1" w:rsidRDefault="00E97469" w:rsidP="000C30A1">
      <w:pPr>
        <w:pStyle w:val="a7"/>
        <w:numPr>
          <w:ilvl w:val="0"/>
          <w:numId w:val="2"/>
        </w:numPr>
        <w:adjustRightInd w:val="0"/>
        <w:snapToGrid w:val="0"/>
        <w:spacing w:line="360" w:lineRule="auto"/>
        <w:ind w:firstLineChars="0"/>
        <w:jc w:val="left"/>
        <w:rPr>
          <w:rFonts w:ascii="宋体" w:eastAsia="宋体" w:hAnsi="宋体"/>
          <w:b/>
          <w:bCs/>
          <w:color w:val="FF0000"/>
        </w:rPr>
      </w:pPr>
      <w:r w:rsidRPr="000C30A1">
        <w:rPr>
          <w:rFonts w:ascii="宋体" w:eastAsia="宋体" w:hAnsi="宋体" w:hint="eastAsia"/>
          <w:b/>
          <w:bCs/>
          <w:color w:val="FF0000"/>
        </w:rPr>
        <w:t>能够区分商业性和非商业性服务业</w:t>
      </w:r>
      <w:r w:rsidR="00876035">
        <w:rPr>
          <w:rFonts w:ascii="宋体" w:eastAsia="宋体" w:hAnsi="宋体" w:hint="eastAsia"/>
          <w:b/>
          <w:bCs/>
          <w:color w:val="FF0000"/>
        </w:rPr>
        <w:t>，比较其区位选择的原则差异</w:t>
      </w:r>
      <w:r w:rsidRPr="000C30A1">
        <w:rPr>
          <w:rFonts w:ascii="宋体" w:eastAsia="宋体" w:hAnsi="宋体" w:hint="eastAsia"/>
          <w:b/>
          <w:bCs/>
          <w:color w:val="FF0000"/>
        </w:rPr>
        <w:t>。</w:t>
      </w:r>
    </w:p>
    <w:p w:rsidR="000C30A1" w:rsidRDefault="000C30A1" w:rsidP="000C30A1">
      <w:pPr>
        <w:pStyle w:val="a7"/>
        <w:numPr>
          <w:ilvl w:val="0"/>
          <w:numId w:val="2"/>
        </w:numPr>
        <w:adjustRightInd w:val="0"/>
        <w:snapToGrid w:val="0"/>
        <w:spacing w:line="360" w:lineRule="auto"/>
        <w:ind w:firstLineChars="0"/>
        <w:jc w:val="left"/>
        <w:rPr>
          <w:rFonts w:ascii="宋体" w:eastAsia="宋体" w:hAnsi="宋体"/>
          <w:b/>
          <w:bCs/>
          <w:color w:val="FF0000"/>
        </w:rPr>
      </w:pPr>
      <w:r>
        <w:rPr>
          <w:rFonts w:ascii="宋体" w:eastAsia="宋体" w:hAnsi="宋体" w:hint="eastAsia"/>
          <w:b/>
          <w:bCs/>
          <w:color w:val="FF0000"/>
        </w:rPr>
        <w:t>结合实例，</w:t>
      </w:r>
      <w:r w:rsidR="00C26D4A">
        <w:rPr>
          <w:rFonts w:ascii="宋体" w:eastAsia="宋体" w:hAnsi="宋体" w:hint="eastAsia"/>
          <w:b/>
          <w:bCs/>
          <w:color w:val="FF0000"/>
        </w:rPr>
        <w:t>说明</w:t>
      </w:r>
      <w:r>
        <w:rPr>
          <w:rFonts w:ascii="宋体" w:eastAsia="宋体" w:hAnsi="宋体" w:hint="eastAsia"/>
          <w:b/>
          <w:bCs/>
          <w:color w:val="FF0000"/>
        </w:rPr>
        <w:t>影响服务业区位选择的</w:t>
      </w:r>
      <w:r w:rsidR="009D72CC">
        <w:rPr>
          <w:rFonts w:ascii="宋体" w:eastAsia="宋体" w:hAnsi="宋体" w:hint="eastAsia"/>
          <w:b/>
          <w:bCs/>
          <w:color w:val="FF0000"/>
        </w:rPr>
        <w:t>主要因素</w:t>
      </w:r>
      <w:r>
        <w:rPr>
          <w:rFonts w:ascii="宋体" w:eastAsia="宋体" w:hAnsi="宋体" w:hint="eastAsia"/>
          <w:b/>
          <w:bCs/>
          <w:color w:val="FF0000"/>
        </w:rPr>
        <w:t>。</w:t>
      </w:r>
    </w:p>
    <w:p w:rsidR="009D72CC" w:rsidRPr="000C30A1" w:rsidRDefault="00C47016" w:rsidP="000C30A1">
      <w:pPr>
        <w:pStyle w:val="a7"/>
        <w:numPr>
          <w:ilvl w:val="0"/>
          <w:numId w:val="2"/>
        </w:numPr>
        <w:adjustRightInd w:val="0"/>
        <w:snapToGrid w:val="0"/>
        <w:spacing w:line="360" w:lineRule="auto"/>
        <w:ind w:firstLineChars="0"/>
        <w:jc w:val="left"/>
        <w:rPr>
          <w:rFonts w:ascii="宋体" w:eastAsia="宋体" w:hAnsi="宋体"/>
          <w:b/>
          <w:bCs/>
          <w:color w:val="FF0000"/>
        </w:rPr>
      </w:pPr>
      <w:r>
        <w:rPr>
          <w:rFonts w:ascii="宋体" w:eastAsia="宋体" w:hAnsi="宋体" w:hint="eastAsia"/>
          <w:b/>
          <w:bCs/>
          <w:color w:val="FF0000"/>
        </w:rPr>
        <w:t>结合实例，分析服务业区位</w:t>
      </w:r>
      <w:r w:rsidR="009D72CC">
        <w:rPr>
          <w:rFonts w:ascii="宋体" w:eastAsia="宋体" w:hAnsi="宋体" w:hint="eastAsia"/>
          <w:b/>
          <w:bCs/>
          <w:color w:val="FF0000"/>
        </w:rPr>
        <w:t>因素</w:t>
      </w:r>
      <w:r>
        <w:rPr>
          <w:rFonts w:ascii="宋体" w:eastAsia="宋体" w:hAnsi="宋体" w:hint="eastAsia"/>
          <w:b/>
          <w:bCs/>
          <w:color w:val="FF0000"/>
        </w:rPr>
        <w:t>的变化</w:t>
      </w:r>
      <w:r w:rsidR="009D72CC">
        <w:rPr>
          <w:rFonts w:ascii="宋体" w:eastAsia="宋体" w:hAnsi="宋体" w:hint="eastAsia"/>
          <w:b/>
          <w:bCs/>
          <w:color w:val="FF0000"/>
        </w:rPr>
        <w:t>。</w:t>
      </w:r>
    </w:p>
    <w:p w:rsidR="00024F87" w:rsidRDefault="00104A7D">
      <w:pPr>
        <w:adjustRightInd w:val="0"/>
        <w:snapToGrid w:val="0"/>
        <w:spacing w:line="360" w:lineRule="auto"/>
        <w:jc w:val="left"/>
        <w:rPr>
          <w:rFonts w:ascii="宋体" w:eastAsia="宋体" w:hAnsi="宋体"/>
          <w:b/>
          <w:bCs/>
          <w:color w:val="FF0000"/>
        </w:rPr>
      </w:pPr>
      <w:r>
        <w:rPr>
          <w:rFonts w:ascii="宋体" w:eastAsia="宋体" w:hAnsi="宋体" w:hint="eastAsia"/>
          <w:b/>
          <w:bCs/>
          <w:color w:val="FF0000"/>
        </w:rPr>
        <w:t>【学法指导】</w:t>
      </w:r>
    </w:p>
    <w:p w:rsidR="001B4BC6" w:rsidRDefault="004C5F0B" w:rsidP="001B4BC6">
      <w:pPr>
        <w:adjustRightInd w:val="0"/>
        <w:snapToGrid w:val="0"/>
        <w:spacing w:line="360" w:lineRule="auto"/>
        <w:jc w:val="left"/>
        <w:rPr>
          <w:rFonts w:ascii="宋体" w:eastAsia="宋体" w:hAnsi="宋体"/>
        </w:rPr>
      </w:pPr>
      <w:r>
        <w:rPr>
          <w:rFonts w:ascii="宋体" w:eastAsia="宋体" w:hAnsi="宋体" w:hint="eastAsia"/>
        </w:rPr>
        <w:t>1</w:t>
      </w:r>
      <w:r w:rsidR="001B4BC6">
        <w:rPr>
          <w:rFonts w:ascii="宋体" w:eastAsia="宋体" w:hAnsi="宋体" w:hint="eastAsia"/>
        </w:rPr>
        <w:t>.</w:t>
      </w:r>
      <w:r w:rsidR="00940E77">
        <w:rPr>
          <w:rFonts w:ascii="宋体" w:eastAsia="宋体" w:hAnsi="宋体"/>
        </w:rPr>
        <w:t xml:space="preserve"> </w:t>
      </w:r>
      <w:r w:rsidR="00940E77">
        <w:rPr>
          <w:rFonts w:ascii="宋体" w:eastAsia="宋体" w:hAnsi="宋体" w:hint="eastAsia"/>
        </w:rPr>
        <w:t>结合实例资料，说出影响服务业区位选择的主要因素</w:t>
      </w:r>
      <w:r>
        <w:rPr>
          <w:rFonts w:ascii="宋体" w:eastAsia="宋体" w:hAnsi="宋体" w:hint="eastAsia"/>
        </w:rPr>
        <w:t>及变化</w:t>
      </w:r>
      <w:r w:rsidR="00940E77">
        <w:rPr>
          <w:rFonts w:ascii="宋体" w:eastAsia="宋体" w:hAnsi="宋体" w:hint="eastAsia"/>
        </w:rPr>
        <w:t>。</w:t>
      </w:r>
    </w:p>
    <w:p w:rsidR="004C5F0B" w:rsidRDefault="004C5F0B">
      <w:pPr>
        <w:adjustRightInd w:val="0"/>
        <w:snapToGrid w:val="0"/>
        <w:spacing w:line="360" w:lineRule="auto"/>
        <w:jc w:val="left"/>
        <w:rPr>
          <w:rFonts w:ascii="宋体" w:eastAsia="宋体" w:hAnsi="宋体" w:hint="eastAsia"/>
        </w:rPr>
      </w:pPr>
      <w:r>
        <w:rPr>
          <w:rFonts w:ascii="宋体" w:eastAsia="宋体" w:hAnsi="宋体" w:hint="eastAsia"/>
        </w:rPr>
        <w:t>2</w:t>
      </w:r>
      <w:r>
        <w:rPr>
          <w:rFonts w:ascii="宋体" w:eastAsia="宋体" w:hAnsi="宋体" w:hint="eastAsia"/>
        </w:rPr>
        <w:t>.</w:t>
      </w:r>
      <w:r w:rsidRPr="00940E77">
        <w:rPr>
          <w:rFonts w:ascii="宋体" w:eastAsia="宋体" w:hAnsi="宋体" w:hint="eastAsia"/>
        </w:rPr>
        <w:t xml:space="preserve"> </w:t>
      </w:r>
      <w:r>
        <w:rPr>
          <w:rFonts w:ascii="宋体" w:eastAsia="宋体" w:hAnsi="宋体" w:hint="eastAsia"/>
        </w:rPr>
        <w:t>联系生活实际，列举几种商业性和非商业性服务业，比较其区位选择时考虑因素的差异。</w:t>
      </w:r>
    </w:p>
    <w:p w:rsidR="004C5F0B" w:rsidRPr="004C5F0B" w:rsidRDefault="004C5F0B">
      <w:pPr>
        <w:adjustRightInd w:val="0"/>
        <w:snapToGrid w:val="0"/>
        <w:spacing w:line="360" w:lineRule="auto"/>
        <w:jc w:val="left"/>
        <w:rPr>
          <w:rFonts w:ascii="宋体" w:eastAsia="宋体" w:hAnsi="宋体"/>
        </w:rPr>
      </w:pPr>
      <w:bookmarkStart w:id="0" w:name="_GoBack"/>
      <w:bookmarkEnd w:id="0"/>
    </w:p>
    <w:p w:rsidR="00881B3C" w:rsidRDefault="00104A7D">
      <w:pPr>
        <w:adjustRightInd w:val="0"/>
        <w:snapToGrid w:val="0"/>
        <w:spacing w:line="360" w:lineRule="auto"/>
        <w:jc w:val="left"/>
        <w:rPr>
          <w:rFonts w:ascii="宋体" w:eastAsia="宋体" w:hAnsi="宋体"/>
        </w:rPr>
      </w:pPr>
      <w:r>
        <w:rPr>
          <w:rFonts w:ascii="宋体" w:eastAsia="宋体" w:hAnsi="宋体" w:hint="eastAsia"/>
        </w:rPr>
        <w:t>【任务一】</w:t>
      </w:r>
      <w:r w:rsidR="007E1D55">
        <w:rPr>
          <w:rFonts w:ascii="宋体" w:eastAsia="宋体" w:hAnsi="宋体" w:hint="eastAsia"/>
        </w:rPr>
        <w:t>阅读材料</w:t>
      </w:r>
      <w:r w:rsidR="00DB6291">
        <w:rPr>
          <w:rFonts w:ascii="宋体" w:eastAsia="宋体" w:hAnsi="宋体" w:hint="eastAsia"/>
        </w:rPr>
        <w:t>，分析</w:t>
      </w:r>
      <w:r w:rsidR="00DB6291" w:rsidRPr="00DB6291">
        <w:rPr>
          <w:rFonts w:ascii="宋体" w:eastAsia="宋体" w:hAnsi="宋体" w:hint="eastAsia"/>
        </w:rPr>
        <w:t>重庆·沙</w:t>
      </w:r>
      <w:proofErr w:type="gramStart"/>
      <w:r w:rsidR="00DB6291" w:rsidRPr="00DB6291">
        <w:rPr>
          <w:rFonts w:ascii="宋体" w:eastAsia="宋体" w:hAnsi="宋体" w:hint="eastAsia"/>
        </w:rPr>
        <w:t>坪坝商</w:t>
      </w:r>
      <w:proofErr w:type="gramEnd"/>
      <w:r w:rsidR="00DB6291" w:rsidRPr="00DB6291">
        <w:rPr>
          <w:rFonts w:ascii="宋体" w:eastAsia="宋体" w:hAnsi="宋体" w:hint="eastAsia"/>
        </w:rPr>
        <w:t>圈发展实体书店的有利区位条件</w:t>
      </w:r>
      <w:r w:rsidR="009D72CC">
        <w:rPr>
          <w:rFonts w:ascii="宋体" w:eastAsia="宋体" w:hAnsi="宋体" w:hint="eastAsia"/>
        </w:rPr>
        <w:t>。</w:t>
      </w:r>
    </w:p>
    <w:p w:rsidR="007E1D55" w:rsidRDefault="007E1D55" w:rsidP="007E1D55">
      <w:pPr>
        <w:adjustRightInd w:val="0"/>
        <w:snapToGrid w:val="0"/>
        <w:spacing w:line="360" w:lineRule="auto"/>
        <w:jc w:val="left"/>
        <w:rPr>
          <w:rFonts w:ascii="楷体" w:eastAsia="楷体" w:hAnsi="楷体" w:hint="eastAsia"/>
        </w:rPr>
      </w:pPr>
      <w:r w:rsidRPr="007E1D55">
        <w:rPr>
          <w:rFonts w:ascii="楷体" w:eastAsia="楷体" w:hAnsi="楷体" w:hint="eastAsia"/>
        </w:rPr>
        <w:t>材料</w:t>
      </w:r>
      <w:r>
        <w:rPr>
          <w:rFonts w:ascii="楷体" w:eastAsia="楷体" w:hAnsi="楷体" w:hint="eastAsia"/>
        </w:rPr>
        <w:t>1</w:t>
      </w:r>
      <w:r w:rsidRPr="007E1D55">
        <w:rPr>
          <w:rFonts w:ascii="楷体" w:eastAsia="楷体" w:hAnsi="楷体" w:hint="eastAsia"/>
        </w:rPr>
        <w:t>：</w:t>
      </w:r>
    </w:p>
    <w:p w:rsidR="007E1D55" w:rsidRPr="007E1D55" w:rsidRDefault="007E1D55" w:rsidP="007E1D55">
      <w:pPr>
        <w:adjustRightInd w:val="0"/>
        <w:snapToGrid w:val="0"/>
        <w:spacing w:line="360" w:lineRule="auto"/>
        <w:ind w:firstLineChars="200" w:firstLine="420"/>
        <w:jc w:val="left"/>
        <w:rPr>
          <w:rFonts w:ascii="楷体" w:eastAsia="楷体" w:hAnsi="楷体"/>
        </w:rPr>
      </w:pPr>
      <w:r w:rsidRPr="007E1D55">
        <w:rPr>
          <w:rFonts w:ascii="楷体" w:eastAsia="楷体" w:hAnsi="楷体" w:hint="eastAsia"/>
        </w:rPr>
        <w:t>重庆是国家历史文化名城、长江上游地区的经济中心，西南地区综合交通枢纽。</w:t>
      </w:r>
    </w:p>
    <w:p w:rsidR="007E1D55" w:rsidRPr="007E1D55" w:rsidRDefault="007E1D55" w:rsidP="007E1D55">
      <w:pPr>
        <w:adjustRightInd w:val="0"/>
        <w:snapToGrid w:val="0"/>
        <w:spacing w:line="360" w:lineRule="auto"/>
        <w:jc w:val="left"/>
        <w:rPr>
          <w:rFonts w:ascii="楷体" w:eastAsia="楷体" w:hAnsi="楷体" w:hint="eastAsia"/>
        </w:rPr>
      </w:pPr>
      <w:r w:rsidRPr="007E1D55">
        <w:rPr>
          <w:rFonts w:ascii="楷体" w:eastAsia="楷体" w:hAnsi="楷体" w:hint="eastAsia"/>
        </w:rPr>
        <w:t>07年时重庆几乎无大型实体书店，重庆政府</w:t>
      </w:r>
      <w:proofErr w:type="gramStart"/>
      <w:r w:rsidRPr="007E1D55">
        <w:rPr>
          <w:rFonts w:ascii="楷体" w:eastAsia="楷体" w:hAnsi="楷体" w:hint="eastAsia"/>
        </w:rPr>
        <w:t>秉</w:t>
      </w:r>
      <w:proofErr w:type="gramEnd"/>
      <w:r w:rsidRPr="007E1D55">
        <w:rPr>
          <w:rFonts w:ascii="楷体" w:eastAsia="楷体" w:hAnsi="楷体" w:hint="eastAsia"/>
        </w:rPr>
        <w:t>着“文化开放”的政策，给予文化产业资金、租金等多方面的支持。</w:t>
      </w:r>
    </w:p>
    <w:p w:rsidR="007E1D55" w:rsidRDefault="007E1D55">
      <w:pPr>
        <w:adjustRightInd w:val="0"/>
        <w:snapToGrid w:val="0"/>
        <w:spacing w:line="360" w:lineRule="auto"/>
        <w:jc w:val="left"/>
        <w:rPr>
          <w:rFonts w:ascii="楷体" w:eastAsia="楷体" w:hAnsi="楷体" w:hint="eastAsia"/>
        </w:rPr>
      </w:pPr>
      <w:r w:rsidRPr="007E1D55">
        <w:rPr>
          <w:rFonts w:ascii="楷体" w:eastAsia="楷体" w:hAnsi="楷体" w:hint="eastAsia"/>
        </w:rPr>
        <w:t>材料</w:t>
      </w:r>
      <w:r>
        <w:rPr>
          <w:rFonts w:ascii="楷体" w:eastAsia="楷体" w:hAnsi="楷体" w:hint="eastAsia"/>
        </w:rPr>
        <w:t>2（2008年资料）</w:t>
      </w:r>
      <w:r w:rsidRPr="007E1D55">
        <w:rPr>
          <w:rFonts w:ascii="楷体" w:eastAsia="楷体" w:hAnsi="楷体" w:hint="eastAsia"/>
        </w:rPr>
        <w:t>：</w:t>
      </w:r>
    </w:p>
    <w:p w:rsidR="00DB6291" w:rsidRPr="007E1D55" w:rsidRDefault="007E1D55" w:rsidP="007E1D55">
      <w:pPr>
        <w:adjustRightInd w:val="0"/>
        <w:snapToGrid w:val="0"/>
        <w:spacing w:line="360" w:lineRule="auto"/>
        <w:ind w:firstLineChars="200" w:firstLine="420"/>
        <w:jc w:val="left"/>
        <w:rPr>
          <w:rFonts w:ascii="楷体" w:eastAsia="楷体" w:hAnsi="楷体"/>
        </w:rPr>
      </w:pPr>
      <w:r w:rsidRPr="007E1D55">
        <w:rPr>
          <w:rFonts w:ascii="楷体" w:eastAsia="楷体" w:hAnsi="楷体"/>
        </w:rPr>
        <w:t>沙坪坝是全国的先进文化区，区内有19所高等院校，87所全市最好的中小学，历史文化积淀深厚。全区90万常住人口中有30多万学生，8万多科技教育工作者，是西部的人才聚集区。</w:t>
      </w:r>
    </w:p>
    <w:p w:rsidR="00DB6291" w:rsidRPr="007E1D55" w:rsidRDefault="007E1D55">
      <w:pPr>
        <w:adjustRightInd w:val="0"/>
        <w:snapToGrid w:val="0"/>
        <w:spacing w:line="360" w:lineRule="auto"/>
        <w:jc w:val="left"/>
        <w:rPr>
          <w:rFonts w:ascii="楷体" w:eastAsia="楷体" w:hAnsi="楷体"/>
        </w:rPr>
      </w:pPr>
      <w:r w:rsidRPr="007E1D55">
        <w:rPr>
          <w:rFonts w:ascii="楷体" w:eastAsia="楷体" w:hAnsi="楷体"/>
        </w:rPr>
        <w:t xml:space="preserve">    沙</w:t>
      </w:r>
      <w:proofErr w:type="gramStart"/>
      <w:r w:rsidRPr="007E1D55">
        <w:rPr>
          <w:rFonts w:ascii="楷体" w:eastAsia="楷体" w:hAnsi="楷体"/>
        </w:rPr>
        <w:t>坪坝商</w:t>
      </w:r>
      <w:proofErr w:type="gramEnd"/>
      <w:r w:rsidRPr="007E1D55">
        <w:rPr>
          <w:rFonts w:ascii="楷体" w:eastAsia="楷体" w:hAnsi="楷体"/>
        </w:rPr>
        <w:t>圈是重庆仅次于</w:t>
      </w:r>
      <w:proofErr w:type="gramStart"/>
      <w:r w:rsidRPr="007E1D55">
        <w:rPr>
          <w:rFonts w:ascii="楷体" w:eastAsia="楷体" w:hAnsi="楷体"/>
        </w:rPr>
        <w:t>解放碑商圈</w:t>
      </w:r>
      <w:proofErr w:type="gramEnd"/>
      <w:r w:rsidRPr="007E1D55">
        <w:rPr>
          <w:rFonts w:ascii="楷体" w:eastAsia="楷体" w:hAnsi="楷体"/>
        </w:rPr>
        <w:t>的最大次级商圈，平均客流量超过10万人次/日，节假日20万-30万人次/日。商圈内主要为高收入、高文化水平人群，消费力较强，是极具文化艺术特色的商业文化中心。</w:t>
      </w:r>
    </w:p>
    <w:p w:rsidR="007E1D55" w:rsidRPr="007E1D55" w:rsidRDefault="007E1D55" w:rsidP="007E1D55">
      <w:pPr>
        <w:adjustRightInd w:val="0"/>
        <w:snapToGrid w:val="0"/>
        <w:spacing w:line="360" w:lineRule="auto"/>
        <w:jc w:val="left"/>
        <w:rPr>
          <w:rFonts w:ascii="楷体" w:eastAsia="楷体" w:hAnsi="楷体"/>
        </w:rPr>
      </w:pPr>
      <w:r w:rsidRPr="007E1D55">
        <w:rPr>
          <w:rFonts w:ascii="楷体" w:eastAsia="楷体" w:hAnsi="楷体" w:hint="eastAsia"/>
        </w:rPr>
        <w:t xml:space="preserve">    沙</w:t>
      </w:r>
      <w:proofErr w:type="gramStart"/>
      <w:r w:rsidRPr="007E1D55">
        <w:rPr>
          <w:rFonts w:ascii="楷体" w:eastAsia="楷体" w:hAnsi="楷体" w:hint="eastAsia"/>
        </w:rPr>
        <w:t>坪坝商圈拥有</w:t>
      </w:r>
      <w:proofErr w:type="gramEnd"/>
      <w:r w:rsidRPr="007E1D55">
        <w:rPr>
          <w:rFonts w:ascii="楷体" w:eastAsia="楷体" w:hAnsi="楷体" w:hint="eastAsia"/>
        </w:rPr>
        <w:t>多条公交线路停经。全国铁路集装箱网络重庆中心站、西南地区最大铁路编组站和国家二级火车站等七个火车客货站棋布于此。国道、省道等高等级公路五条，成渝、渝长、上界高速公路纵横域内。</w:t>
      </w:r>
    </w:p>
    <w:p w:rsidR="00DB6291" w:rsidRPr="007E1D55" w:rsidRDefault="00DB6291">
      <w:pPr>
        <w:adjustRightInd w:val="0"/>
        <w:snapToGrid w:val="0"/>
        <w:spacing w:line="360" w:lineRule="auto"/>
        <w:jc w:val="left"/>
        <w:rPr>
          <w:rFonts w:ascii="宋体" w:eastAsia="宋体" w:hAnsi="宋体"/>
        </w:rPr>
      </w:pPr>
    </w:p>
    <w:p w:rsidR="00DB6291" w:rsidRDefault="00DB6291">
      <w:pPr>
        <w:adjustRightInd w:val="0"/>
        <w:snapToGrid w:val="0"/>
        <w:spacing w:line="360" w:lineRule="auto"/>
        <w:jc w:val="left"/>
        <w:rPr>
          <w:rFonts w:ascii="宋体" w:eastAsia="宋体" w:hAnsi="宋体"/>
        </w:rPr>
      </w:pPr>
    </w:p>
    <w:p w:rsidR="00DB6291" w:rsidRDefault="00DB6291">
      <w:pPr>
        <w:adjustRightInd w:val="0"/>
        <w:snapToGrid w:val="0"/>
        <w:spacing w:line="360" w:lineRule="auto"/>
        <w:jc w:val="left"/>
        <w:rPr>
          <w:rFonts w:ascii="宋体" w:eastAsia="宋体" w:hAnsi="宋体"/>
        </w:rPr>
      </w:pPr>
    </w:p>
    <w:p w:rsidR="00DB6291" w:rsidRDefault="00DB6291">
      <w:pPr>
        <w:adjustRightInd w:val="0"/>
        <w:snapToGrid w:val="0"/>
        <w:spacing w:line="360" w:lineRule="auto"/>
        <w:jc w:val="left"/>
        <w:rPr>
          <w:rFonts w:ascii="宋体" w:eastAsia="宋体" w:hAnsi="宋体" w:hint="eastAsia"/>
        </w:rPr>
      </w:pPr>
    </w:p>
    <w:p w:rsidR="00690D92" w:rsidRDefault="00690D92">
      <w:pPr>
        <w:adjustRightInd w:val="0"/>
        <w:snapToGrid w:val="0"/>
        <w:spacing w:line="360" w:lineRule="auto"/>
        <w:jc w:val="left"/>
        <w:rPr>
          <w:rFonts w:ascii="宋体" w:eastAsia="宋体" w:hAnsi="宋体" w:hint="eastAsia"/>
        </w:rPr>
      </w:pPr>
    </w:p>
    <w:p w:rsidR="00690D92" w:rsidRDefault="00690D92">
      <w:pPr>
        <w:adjustRightInd w:val="0"/>
        <w:snapToGrid w:val="0"/>
        <w:spacing w:line="360" w:lineRule="auto"/>
        <w:jc w:val="left"/>
        <w:rPr>
          <w:rFonts w:ascii="宋体" w:eastAsia="宋体" w:hAnsi="宋体" w:hint="eastAsia"/>
        </w:rPr>
      </w:pPr>
    </w:p>
    <w:p w:rsidR="00690D92" w:rsidRDefault="00690D92">
      <w:pPr>
        <w:adjustRightInd w:val="0"/>
        <w:snapToGrid w:val="0"/>
        <w:spacing w:line="360" w:lineRule="auto"/>
        <w:jc w:val="left"/>
        <w:rPr>
          <w:rFonts w:ascii="宋体" w:eastAsia="宋体" w:hAnsi="宋体"/>
        </w:rPr>
      </w:pPr>
    </w:p>
    <w:p w:rsidR="00DB6291" w:rsidRPr="00DB6291" w:rsidRDefault="00DB6291">
      <w:pPr>
        <w:adjustRightInd w:val="0"/>
        <w:snapToGrid w:val="0"/>
        <w:spacing w:line="360" w:lineRule="auto"/>
        <w:jc w:val="left"/>
        <w:rPr>
          <w:rFonts w:ascii="宋体" w:eastAsia="宋体" w:hAnsi="宋体"/>
        </w:rPr>
      </w:pPr>
    </w:p>
    <w:p w:rsidR="00881B3C" w:rsidRPr="00C26D4A" w:rsidRDefault="00104A7D" w:rsidP="00DB6291">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rPr>
        <w:lastRenderedPageBreak/>
        <w:t>【任务二】</w:t>
      </w:r>
      <w:r w:rsidR="00C26D4A">
        <w:rPr>
          <w:rFonts w:ascii="Times New Roman" w:eastAsia="宋体" w:hAnsi="Times New Roman" w:cs="Times New Roman" w:hint="eastAsia"/>
        </w:rPr>
        <w:t>联系生活实际，说明</w:t>
      </w:r>
      <w:r w:rsidR="00C26D4A" w:rsidRPr="00C26D4A">
        <w:rPr>
          <w:rFonts w:ascii="Times New Roman" w:eastAsia="宋体" w:hAnsi="Times New Roman" w:cs="Times New Roman" w:hint="eastAsia"/>
        </w:rPr>
        <w:t>服</w:t>
      </w:r>
      <w:r w:rsidR="006E45AC">
        <w:rPr>
          <w:rFonts w:ascii="Times New Roman" w:eastAsia="宋体" w:hAnsi="Times New Roman" w:cs="Times New Roman" w:hint="eastAsia"/>
        </w:rPr>
        <w:t>务业的集聚效应会给商家带来哪些利弊。</w:t>
      </w:r>
    </w:p>
    <w:p w:rsidR="000C071F" w:rsidRDefault="000C071F">
      <w:pPr>
        <w:adjustRightInd w:val="0"/>
        <w:snapToGrid w:val="0"/>
        <w:spacing w:line="360" w:lineRule="auto"/>
        <w:rPr>
          <w:rFonts w:ascii="Times New Roman" w:eastAsia="宋体" w:hAnsi="Times New Roman" w:cs="Times New Roman" w:hint="eastAsia"/>
        </w:rPr>
      </w:pPr>
    </w:p>
    <w:p w:rsidR="00690D92" w:rsidRDefault="00690D92">
      <w:pPr>
        <w:adjustRightInd w:val="0"/>
        <w:snapToGrid w:val="0"/>
        <w:spacing w:line="360" w:lineRule="auto"/>
        <w:rPr>
          <w:rFonts w:ascii="Times New Roman" w:eastAsia="宋体" w:hAnsi="Times New Roman" w:cs="Times New Roman" w:hint="eastAsia"/>
        </w:rPr>
      </w:pPr>
    </w:p>
    <w:p w:rsidR="00690D92" w:rsidRDefault="00690D92">
      <w:pPr>
        <w:adjustRightInd w:val="0"/>
        <w:snapToGrid w:val="0"/>
        <w:spacing w:line="360" w:lineRule="auto"/>
        <w:rPr>
          <w:rFonts w:ascii="Times New Roman" w:eastAsia="宋体" w:hAnsi="Times New Roman" w:cs="Times New Roman"/>
        </w:rPr>
      </w:pPr>
    </w:p>
    <w:p w:rsidR="000C071F" w:rsidRDefault="000C071F">
      <w:pPr>
        <w:adjustRightInd w:val="0"/>
        <w:snapToGrid w:val="0"/>
        <w:spacing w:line="360" w:lineRule="auto"/>
        <w:rPr>
          <w:rFonts w:ascii="Times New Roman" w:eastAsia="宋体" w:hAnsi="Times New Roman" w:cs="Times New Roman"/>
        </w:rPr>
      </w:pPr>
    </w:p>
    <w:p w:rsidR="00DB6291" w:rsidRDefault="00DB6291">
      <w:pPr>
        <w:adjustRightInd w:val="0"/>
        <w:snapToGrid w:val="0"/>
        <w:spacing w:line="360" w:lineRule="auto"/>
        <w:rPr>
          <w:rFonts w:ascii="Times New Roman" w:eastAsia="宋体" w:hAnsi="Times New Roman" w:cs="Times New Roman"/>
        </w:rPr>
      </w:pPr>
    </w:p>
    <w:p w:rsidR="00DB6291" w:rsidRDefault="00DB6291">
      <w:pPr>
        <w:adjustRightInd w:val="0"/>
        <w:snapToGrid w:val="0"/>
        <w:spacing w:line="360" w:lineRule="auto"/>
        <w:rPr>
          <w:rFonts w:ascii="Times New Roman" w:eastAsia="宋体" w:hAnsi="Times New Roman" w:cs="Times New Roman"/>
        </w:rPr>
      </w:pPr>
    </w:p>
    <w:p w:rsidR="00820109" w:rsidRDefault="00820109">
      <w:pPr>
        <w:adjustRightInd w:val="0"/>
        <w:snapToGrid w:val="0"/>
        <w:spacing w:line="360" w:lineRule="auto"/>
        <w:rPr>
          <w:rFonts w:ascii="Times New Roman" w:eastAsia="宋体" w:hAnsi="Times New Roman" w:cs="Times New Roman"/>
        </w:rPr>
      </w:pPr>
    </w:p>
    <w:p w:rsidR="00820109" w:rsidRDefault="00820109">
      <w:pPr>
        <w:adjustRightInd w:val="0"/>
        <w:snapToGrid w:val="0"/>
        <w:spacing w:line="360" w:lineRule="auto"/>
        <w:rPr>
          <w:rFonts w:ascii="Times New Roman" w:eastAsia="宋体" w:hAnsi="Times New Roman" w:cs="Times New Roman"/>
        </w:rPr>
      </w:pPr>
    </w:p>
    <w:p w:rsidR="000C071F" w:rsidRDefault="000C071F">
      <w:pPr>
        <w:adjustRightInd w:val="0"/>
        <w:snapToGrid w:val="0"/>
        <w:spacing w:line="360" w:lineRule="auto"/>
        <w:rPr>
          <w:rFonts w:ascii="Times New Roman" w:eastAsia="宋体" w:hAnsi="Times New Roman" w:cs="Times New Roman"/>
        </w:rPr>
      </w:pPr>
    </w:p>
    <w:p w:rsidR="000C071F" w:rsidRPr="000C071F" w:rsidRDefault="000C071F">
      <w:pPr>
        <w:adjustRightInd w:val="0"/>
        <w:snapToGrid w:val="0"/>
        <w:spacing w:line="360" w:lineRule="auto"/>
        <w:rPr>
          <w:rFonts w:ascii="Times New Roman" w:eastAsia="宋体" w:hAnsi="Times New Roman" w:cs="Times New Roman"/>
        </w:rPr>
      </w:pPr>
    </w:p>
    <w:p w:rsidR="008F6BF5" w:rsidRDefault="008F6BF5" w:rsidP="008F6BF5">
      <w:pPr>
        <w:adjustRightInd w:val="0"/>
        <w:snapToGrid w:val="0"/>
        <w:spacing w:line="360" w:lineRule="auto"/>
        <w:jc w:val="left"/>
        <w:rPr>
          <w:rFonts w:ascii="Times New Roman" w:eastAsia="宋体" w:hAnsi="Times New Roman" w:cs="Times New Roman"/>
        </w:rPr>
      </w:pPr>
      <w:r>
        <w:rPr>
          <w:rFonts w:ascii="Times New Roman" w:eastAsia="宋体" w:hAnsi="Times New Roman" w:cs="Times New Roman"/>
        </w:rPr>
        <w:t>【任务</w:t>
      </w:r>
      <w:r>
        <w:rPr>
          <w:rFonts w:ascii="Times New Roman" w:eastAsia="宋体" w:hAnsi="Times New Roman" w:cs="Times New Roman" w:hint="eastAsia"/>
        </w:rPr>
        <w:t>三</w:t>
      </w:r>
      <w:r>
        <w:rPr>
          <w:rFonts w:ascii="Times New Roman" w:eastAsia="宋体" w:hAnsi="Times New Roman" w:cs="Times New Roman"/>
        </w:rPr>
        <w:t>】</w:t>
      </w:r>
    </w:p>
    <w:p w:rsidR="00C26D4A" w:rsidRPr="00C26D4A" w:rsidRDefault="00C26D4A" w:rsidP="00C26D4A">
      <w:pPr>
        <w:adjustRightInd w:val="0"/>
        <w:snapToGrid w:val="0"/>
        <w:spacing w:line="360" w:lineRule="auto"/>
        <w:rPr>
          <w:rFonts w:ascii="Times New Roman" w:eastAsia="宋体" w:hAnsi="Times New Roman" w:cs="Times New Roman"/>
        </w:rPr>
      </w:pPr>
      <w:r w:rsidRPr="00C26D4A">
        <w:rPr>
          <w:rFonts w:ascii="Times New Roman" w:eastAsia="宋体" w:hAnsi="Times New Roman" w:cs="Times New Roman" w:hint="eastAsia"/>
        </w:rPr>
        <w:t>归纳影响</w:t>
      </w:r>
      <w:r w:rsidR="00690D92">
        <w:rPr>
          <w:rFonts w:ascii="Times New Roman" w:eastAsia="宋体" w:hAnsi="Times New Roman" w:cs="Times New Roman" w:hint="eastAsia"/>
        </w:rPr>
        <w:t>不同类别</w:t>
      </w:r>
      <w:r w:rsidRPr="00C26D4A">
        <w:rPr>
          <w:rFonts w:ascii="Times New Roman" w:eastAsia="宋体" w:hAnsi="Times New Roman" w:cs="Times New Roman" w:hint="eastAsia"/>
        </w:rPr>
        <w:t>服务业区位选择的因素及其变化</w:t>
      </w:r>
      <w:r>
        <w:rPr>
          <w:rFonts w:ascii="Times New Roman" w:eastAsia="宋体" w:hAnsi="Times New Roman" w:cs="Times New Roman" w:hint="eastAsia"/>
        </w:rPr>
        <w:t>。</w:t>
      </w:r>
    </w:p>
    <w:p w:rsidR="00FA0371" w:rsidRPr="00C26D4A" w:rsidRDefault="00FA0371">
      <w:pPr>
        <w:adjustRightInd w:val="0"/>
        <w:snapToGrid w:val="0"/>
        <w:spacing w:line="360" w:lineRule="auto"/>
        <w:rPr>
          <w:rFonts w:ascii="Times New Roman" w:eastAsia="宋体" w:hAnsi="Times New Roman" w:cs="Times New Roman"/>
        </w:rPr>
      </w:pPr>
    </w:p>
    <w:p w:rsidR="00FA0371" w:rsidRDefault="00FA0371">
      <w:pPr>
        <w:adjustRightInd w:val="0"/>
        <w:snapToGrid w:val="0"/>
        <w:spacing w:line="360" w:lineRule="auto"/>
        <w:rPr>
          <w:rFonts w:ascii="Times New Roman" w:eastAsia="宋体" w:hAnsi="Times New Roman" w:cs="Times New Roman"/>
        </w:rPr>
      </w:pPr>
    </w:p>
    <w:p w:rsidR="00FA0371" w:rsidRDefault="00FA0371">
      <w:pPr>
        <w:adjustRightInd w:val="0"/>
        <w:snapToGrid w:val="0"/>
        <w:spacing w:line="360" w:lineRule="auto"/>
        <w:rPr>
          <w:rFonts w:ascii="Times New Roman" w:eastAsia="宋体" w:hAnsi="Times New Roman" w:cs="Times New Roman"/>
        </w:rPr>
      </w:pPr>
    </w:p>
    <w:p w:rsidR="00FA0371" w:rsidRDefault="00FA0371">
      <w:pPr>
        <w:adjustRightInd w:val="0"/>
        <w:snapToGrid w:val="0"/>
        <w:spacing w:line="360" w:lineRule="auto"/>
        <w:rPr>
          <w:rFonts w:ascii="Times New Roman" w:eastAsia="宋体" w:hAnsi="Times New Roman" w:cs="Times New Roman" w:hint="eastAsia"/>
        </w:rPr>
      </w:pPr>
    </w:p>
    <w:p w:rsidR="00690D92" w:rsidRDefault="00690D92">
      <w:pPr>
        <w:adjustRightInd w:val="0"/>
        <w:snapToGrid w:val="0"/>
        <w:spacing w:line="360" w:lineRule="auto"/>
        <w:rPr>
          <w:rFonts w:ascii="Times New Roman" w:eastAsia="宋体" w:hAnsi="Times New Roman" w:cs="Times New Roman" w:hint="eastAsia"/>
        </w:rPr>
      </w:pPr>
    </w:p>
    <w:p w:rsidR="00690D92" w:rsidRDefault="00690D92">
      <w:pPr>
        <w:adjustRightInd w:val="0"/>
        <w:snapToGrid w:val="0"/>
        <w:spacing w:line="360" w:lineRule="auto"/>
        <w:rPr>
          <w:rFonts w:ascii="Times New Roman" w:eastAsia="宋体" w:hAnsi="Times New Roman" w:cs="Times New Roman"/>
        </w:rPr>
      </w:pPr>
    </w:p>
    <w:p w:rsidR="00FA0371" w:rsidRDefault="00FA0371">
      <w:pPr>
        <w:adjustRightInd w:val="0"/>
        <w:snapToGrid w:val="0"/>
        <w:spacing w:line="360" w:lineRule="auto"/>
        <w:rPr>
          <w:rFonts w:ascii="Times New Roman" w:eastAsia="宋体" w:hAnsi="Times New Roman" w:cs="Times New Roman"/>
        </w:rPr>
      </w:pPr>
    </w:p>
    <w:p w:rsidR="00FA0371" w:rsidRDefault="00FA0371">
      <w:pPr>
        <w:adjustRightInd w:val="0"/>
        <w:snapToGrid w:val="0"/>
        <w:spacing w:line="360" w:lineRule="auto"/>
        <w:rPr>
          <w:rFonts w:ascii="Times New Roman" w:eastAsia="宋体" w:hAnsi="Times New Roman" w:cs="Times New Roman"/>
        </w:rPr>
      </w:pPr>
    </w:p>
    <w:p w:rsidR="00FA0371" w:rsidRPr="00FA0371" w:rsidRDefault="00FA0371">
      <w:pPr>
        <w:adjustRightInd w:val="0"/>
        <w:snapToGrid w:val="0"/>
        <w:spacing w:line="360" w:lineRule="auto"/>
        <w:rPr>
          <w:rFonts w:ascii="Times New Roman" w:eastAsia="宋体" w:hAnsi="Times New Roman" w:cs="Times New Roman"/>
        </w:rPr>
      </w:pPr>
    </w:p>
    <w:sectPr w:rsidR="00FA0371" w:rsidRPr="00FA037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63" w:rsidRDefault="004D7C63" w:rsidP="00881B3C">
      <w:r>
        <w:separator/>
      </w:r>
    </w:p>
  </w:endnote>
  <w:endnote w:type="continuationSeparator" w:id="0">
    <w:p w:rsidR="004D7C63" w:rsidRDefault="004D7C63" w:rsidP="0088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63" w:rsidRDefault="004D7C63" w:rsidP="00881B3C">
      <w:r>
        <w:separator/>
      </w:r>
    </w:p>
  </w:footnote>
  <w:footnote w:type="continuationSeparator" w:id="0">
    <w:p w:rsidR="004D7C63" w:rsidRDefault="004D7C63" w:rsidP="00881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0A91"/>
    <w:multiLevelType w:val="hybridMultilevel"/>
    <w:tmpl w:val="B40A716E"/>
    <w:lvl w:ilvl="0" w:tplc="52EA32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4B10FE6"/>
    <w:multiLevelType w:val="hybridMultilevel"/>
    <w:tmpl w:val="F08003C2"/>
    <w:lvl w:ilvl="0" w:tplc="88CA4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A"/>
    <w:rsid w:val="00024F87"/>
    <w:rsid w:val="00042AC0"/>
    <w:rsid w:val="000C071F"/>
    <w:rsid w:val="000C30A1"/>
    <w:rsid w:val="000C41FA"/>
    <w:rsid w:val="000D751A"/>
    <w:rsid w:val="00104A7D"/>
    <w:rsid w:val="0010529E"/>
    <w:rsid w:val="001108BE"/>
    <w:rsid w:val="00187587"/>
    <w:rsid w:val="001B4BC6"/>
    <w:rsid w:val="001B4CF9"/>
    <w:rsid w:val="001C60CD"/>
    <w:rsid w:val="001E1D42"/>
    <w:rsid w:val="0028780D"/>
    <w:rsid w:val="002F1120"/>
    <w:rsid w:val="003150D7"/>
    <w:rsid w:val="003243FE"/>
    <w:rsid w:val="003625BE"/>
    <w:rsid w:val="003739A7"/>
    <w:rsid w:val="003B450C"/>
    <w:rsid w:val="003D0F19"/>
    <w:rsid w:val="003E3B91"/>
    <w:rsid w:val="003F2A06"/>
    <w:rsid w:val="00451805"/>
    <w:rsid w:val="0046140C"/>
    <w:rsid w:val="00465896"/>
    <w:rsid w:val="00471C68"/>
    <w:rsid w:val="004934AE"/>
    <w:rsid w:val="004C5F0B"/>
    <w:rsid w:val="004C777C"/>
    <w:rsid w:val="004D72AC"/>
    <w:rsid w:val="004D7C63"/>
    <w:rsid w:val="00573F36"/>
    <w:rsid w:val="005F52B2"/>
    <w:rsid w:val="00621289"/>
    <w:rsid w:val="00690D92"/>
    <w:rsid w:val="00693C6F"/>
    <w:rsid w:val="006B5762"/>
    <w:rsid w:val="006D7C99"/>
    <w:rsid w:val="006E45AC"/>
    <w:rsid w:val="00723F06"/>
    <w:rsid w:val="00766259"/>
    <w:rsid w:val="007821A7"/>
    <w:rsid w:val="007D03A3"/>
    <w:rsid w:val="007E1D55"/>
    <w:rsid w:val="007E764F"/>
    <w:rsid w:val="00820109"/>
    <w:rsid w:val="00834ADA"/>
    <w:rsid w:val="00876035"/>
    <w:rsid w:val="00881B3C"/>
    <w:rsid w:val="00883234"/>
    <w:rsid w:val="00891BD9"/>
    <w:rsid w:val="008A2C48"/>
    <w:rsid w:val="008C717E"/>
    <w:rsid w:val="008F6BF5"/>
    <w:rsid w:val="00940E77"/>
    <w:rsid w:val="009D72CC"/>
    <w:rsid w:val="00A06C5A"/>
    <w:rsid w:val="00A344EE"/>
    <w:rsid w:val="00AA117E"/>
    <w:rsid w:val="00AF6563"/>
    <w:rsid w:val="00B07C75"/>
    <w:rsid w:val="00B414FA"/>
    <w:rsid w:val="00B6103E"/>
    <w:rsid w:val="00B73CDC"/>
    <w:rsid w:val="00BB2330"/>
    <w:rsid w:val="00BE5B5D"/>
    <w:rsid w:val="00C26D4A"/>
    <w:rsid w:val="00C47016"/>
    <w:rsid w:val="00C627AC"/>
    <w:rsid w:val="00C96F58"/>
    <w:rsid w:val="00CC4453"/>
    <w:rsid w:val="00D464C1"/>
    <w:rsid w:val="00DB6291"/>
    <w:rsid w:val="00DE3B2C"/>
    <w:rsid w:val="00E13148"/>
    <w:rsid w:val="00E175B6"/>
    <w:rsid w:val="00E21BC6"/>
    <w:rsid w:val="00E97469"/>
    <w:rsid w:val="00F12CA4"/>
    <w:rsid w:val="00FA0371"/>
    <w:rsid w:val="00FB0D94"/>
    <w:rsid w:val="1664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81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1B3C"/>
    <w:rPr>
      <w:kern w:val="2"/>
      <w:sz w:val="18"/>
      <w:szCs w:val="18"/>
    </w:rPr>
  </w:style>
  <w:style w:type="paragraph" w:styleId="a5">
    <w:name w:val="footer"/>
    <w:basedOn w:val="a"/>
    <w:link w:val="Char0"/>
    <w:uiPriority w:val="99"/>
    <w:unhideWhenUsed/>
    <w:rsid w:val="00881B3C"/>
    <w:pPr>
      <w:tabs>
        <w:tab w:val="center" w:pos="4153"/>
        <w:tab w:val="right" w:pos="8306"/>
      </w:tabs>
      <w:snapToGrid w:val="0"/>
      <w:jc w:val="left"/>
    </w:pPr>
    <w:rPr>
      <w:sz w:val="18"/>
      <w:szCs w:val="18"/>
    </w:rPr>
  </w:style>
  <w:style w:type="character" w:customStyle="1" w:styleId="Char0">
    <w:name w:val="页脚 Char"/>
    <w:basedOn w:val="a0"/>
    <w:link w:val="a5"/>
    <w:uiPriority w:val="99"/>
    <w:rsid w:val="00881B3C"/>
    <w:rPr>
      <w:kern w:val="2"/>
      <w:sz w:val="18"/>
      <w:szCs w:val="18"/>
    </w:rPr>
  </w:style>
  <w:style w:type="paragraph" w:styleId="a6">
    <w:name w:val="Balloon Text"/>
    <w:basedOn w:val="a"/>
    <w:link w:val="Char1"/>
    <w:uiPriority w:val="99"/>
    <w:semiHidden/>
    <w:unhideWhenUsed/>
    <w:rsid w:val="00766259"/>
    <w:rPr>
      <w:sz w:val="18"/>
      <w:szCs w:val="18"/>
    </w:rPr>
  </w:style>
  <w:style w:type="character" w:customStyle="1" w:styleId="Char1">
    <w:name w:val="批注框文本 Char"/>
    <w:basedOn w:val="a0"/>
    <w:link w:val="a6"/>
    <w:uiPriority w:val="99"/>
    <w:semiHidden/>
    <w:rsid w:val="00766259"/>
    <w:rPr>
      <w:kern w:val="2"/>
      <w:sz w:val="18"/>
      <w:szCs w:val="18"/>
    </w:rPr>
  </w:style>
  <w:style w:type="paragraph" w:styleId="a7">
    <w:name w:val="List Paragraph"/>
    <w:basedOn w:val="a"/>
    <w:uiPriority w:val="99"/>
    <w:rsid w:val="000C30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81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1B3C"/>
    <w:rPr>
      <w:kern w:val="2"/>
      <w:sz w:val="18"/>
      <w:szCs w:val="18"/>
    </w:rPr>
  </w:style>
  <w:style w:type="paragraph" w:styleId="a5">
    <w:name w:val="footer"/>
    <w:basedOn w:val="a"/>
    <w:link w:val="Char0"/>
    <w:uiPriority w:val="99"/>
    <w:unhideWhenUsed/>
    <w:rsid w:val="00881B3C"/>
    <w:pPr>
      <w:tabs>
        <w:tab w:val="center" w:pos="4153"/>
        <w:tab w:val="right" w:pos="8306"/>
      </w:tabs>
      <w:snapToGrid w:val="0"/>
      <w:jc w:val="left"/>
    </w:pPr>
    <w:rPr>
      <w:sz w:val="18"/>
      <w:szCs w:val="18"/>
    </w:rPr>
  </w:style>
  <w:style w:type="character" w:customStyle="1" w:styleId="Char0">
    <w:name w:val="页脚 Char"/>
    <w:basedOn w:val="a0"/>
    <w:link w:val="a5"/>
    <w:uiPriority w:val="99"/>
    <w:rsid w:val="00881B3C"/>
    <w:rPr>
      <w:kern w:val="2"/>
      <w:sz w:val="18"/>
      <w:szCs w:val="18"/>
    </w:rPr>
  </w:style>
  <w:style w:type="paragraph" w:styleId="a6">
    <w:name w:val="Balloon Text"/>
    <w:basedOn w:val="a"/>
    <w:link w:val="Char1"/>
    <w:uiPriority w:val="99"/>
    <w:semiHidden/>
    <w:unhideWhenUsed/>
    <w:rsid w:val="00766259"/>
    <w:rPr>
      <w:sz w:val="18"/>
      <w:szCs w:val="18"/>
    </w:rPr>
  </w:style>
  <w:style w:type="character" w:customStyle="1" w:styleId="Char1">
    <w:name w:val="批注框文本 Char"/>
    <w:basedOn w:val="a0"/>
    <w:link w:val="a6"/>
    <w:uiPriority w:val="99"/>
    <w:semiHidden/>
    <w:rsid w:val="00766259"/>
    <w:rPr>
      <w:kern w:val="2"/>
      <w:sz w:val="18"/>
      <w:szCs w:val="18"/>
    </w:rPr>
  </w:style>
  <w:style w:type="paragraph" w:styleId="a7">
    <w:name w:val="List Paragraph"/>
    <w:basedOn w:val="a"/>
    <w:uiPriority w:val="99"/>
    <w:rsid w:val="000C30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2904">
      <w:bodyDiv w:val="1"/>
      <w:marLeft w:val="0"/>
      <w:marRight w:val="0"/>
      <w:marTop w:val="0"/>
      <w:marBottom w:val="0"/>
      <w:divBdr>
        <w:top w:val="none" w:sz="0" w:space="0" w:color="auto"/>
        <w:left w:val="none" w:sz="0" w:space="0" w:color="auto"/>
        <w:bottom w:val="none" w:sz="0" w:space="0" w:color="auto"/>
        <w:right w:val="none" w:sz="0" w:space="0" w:color="auto"/>
      </w:divBdr>
    </w:div>
    <w:div w:id="510799845">
      <w:bodyDiv w:val="1"/>
      <w:marLeft w:val="0"/>
      <w:marRight w:val="0"/>
      <w:marTop w:val="0"/>
      <w:marBottom w:val="0"/>
      <w:divBdr>
        <w:top w:val="none" w:sz="0" w:space="0" w:color="auto"/>
        <w:left w:val="none" w:sz="0" w:space="0" w:color="auto"/>
        <w:bottom w:val="none" w:sz="0" w:space="0" w:color="auto"/>
        <w:right w:val="none" w:sz="0" w:space="0" w:color="auto"/>
      </w:divBdr>
    </w:div>
    <w:div w:id="529609557">
      <w:bodyDiv w:val="1"/>
      <w:marLeft w:val="0"/>
      <w:marRight w:val="0"/>
      <w:marTop w:val="0"/>
      <w:marBottom w:val="0"/>
      <w:divBdr>
        <w:top w:val="none" w:sz="0" w:space="0" w:color="auto"/>
        <w:left w:val="none" w:sz="0" w:space="0" w:color="auto"/>
        <w:bottom w:val="none" w:sz="0" w:space="0" w:color="auto"/>
        <w:right w:val="none" w:sz="0" w:space="0" w:color="auto"/>
      </w:divBdr>
    </w:div>
    <w:div w:id="874998419">
      <w:bodyDiv w:val="1"/>
      <w:marLeft w:val="0"/>
      <w:marRight w:val="0"/>
      <w:marTop w:val="0"/>
      <w:marBottom w:val="0"/>
      <w:divBdr>
        <w:top w:val="none" w:sz="0" w:space="0" w:color="auto"/>
        <w:left w:val="none" w:sz="0" w:space="0" w:color="auto"/>
        <w:bottom w:val="none" w:sz="0" w:space="0" w:color="auto"/>
        <w:right w:val="none" w:sz="0" w:space="0" w:color="auto"/>
      </w:divBdr>
    </w:div>
    <w:div w:id="953631674">
      <w:bodyDiv w:val="1"/>
      <w:marLeft w:val="0"/>
      <w:marRight w:val="0"/>
      <w:marTop w:val="0"/>
      <w:marBottom w:val="0"/>
      <w:divBdr>
        <w:top w:val="none" w:sz="0" w:space="0" w:color="auto"/>
        <w:left w:val="none" w:sz="0" w:space="0" w:color="auto"/>
        <w:bottom w:val="none" w:sz="0" w:space="0" w:color="auto"/>
        <w:right w:val="none" w:sz="0" w:space="0" w:color="auto"/>
      </w:divBdr>
    </w:div>
    <w:div w:id="1111823196">
      <w:bodyDiv w:val="1"/>
      <w:marLeft w:val="0"/>
      <w:marRight w:val="0"/>
      <w:marTop w:val="0"/>
      <w:marBottom w:val="0"/>
      <w:divBdr>
        <w:top w:val="none" w:sz="0" w:space="0" w:color="auto"/>
        <w:left w:val="none" w:sz="0" w:space="0" w:color="auto"/>
        <w:bottom w:val="none" w:sz="0" w:space="0" w:color="auto"/>
        <w:right w:val="none" w:sz="0" w:space="0" w:color="auto"/>
      </w:divBdr>
    </w:div>
    <w:div w:id="1397624680">
      <w:bodyDiv w:val="1"/>
      <w:marLeft w:val="0"/>
      <w:marRight w:val="0"/>
      <w:marTop w:val="0"/>
      <w:marBottom w:val="0"/>
      <w:divBdr>
        <w:top w:val="none" w:sz="0" w:space="0" w:color="auto"/>
        <w:left w:val="none" w:sz="0" w:space="0" w:color="auto"/>
        <w:bottom w:val="none" w:sz="0" w:space="0" w:color="auto"/>
        <w:right w:val="none" w:sz="0" w:space="0" w:color="auto"/>
      </w:divBdr>
    </w:div>
    <w:div w:id="1490711645">
      <w:bodyDiv w:val="1"/>
      <w:marLeft w:val="0"/>
      <w:marRight w:val="0"/>
      <w:marTop w:val="0"/>
      <w:marBottom w:val="0"/>
      <w:divBdr>
        <w:top w:val="none" w:sz="0" w:space="0" w:color="auto"/>
        <w:left w:val="none" w:sz="0" w:space="0" w:color="auto"/>
        <w:bottom w:val="none" w:sz="0" w:space="0" w:color="auto"/>
        <w:right w:val="none" w:sz="0" w:space="0" w:color="auto"/>
      </w:divBdr>
    </w:div>
    <w:div w:id="1916621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48</cp:revision>
  <dcterms:created xsi:type="dcterms:W3CDTF">2020-03-03T08:23:00Z</dcterms:created>
  <dcterms:modified xsi:type="dcterms:W3CDTF">2020-04-24T08:21:00Z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