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Times New Roman" w:hAnsi="Times New Roman" w:eastAsia="宋体" w:cs="Times New Roman"/>
          <w:szCs w:val="21"/>
        </w:rPr>
      </w:pPr>
      <w:r>
        <w:rPr>
          <w:rStyle w:val="8"/>
          <w:rFonts w:hint="eastAsia" w:ascii="Times New Roman" w:hAnsi="Times New Roman" w:eastAsia="宋体" w:cs="Times New Roman"/>
          <w:b/>
          <w:szCs w:val="21"/>
        </w:rPr>
        <w:t>拓展内容一：</w:t>
      </w:r>
    </w:p>
    <w:p>
      <w:pPr>
        <w:pStyle w:val="2"/>
        <w:spacing w:line="278" w:lineRule="auto"/>
        <w:ind w:left="120" w:right="171" w:firstLine="419"/>
        <w:rPr>
          <w:rFonts w:hint="eastAsia" w:ascii="楷体_GB2312" w:hAnsi="楷体_GB2312" w:eastAsia="楷体_GB2312" w:cs="楷体_GB2312"/>
          <w:spacing w:val="-4"/>
        </w:rPr>
      </w:pPr>
      <w:r>
        <w:rPr>
          <w:rFonts w:hint="eastAsia" w:ascii="楷体_GB2312" w:hAnsi="楷体_GB2312" w:eastAsia="楷体_GB2312" w:cs="楷体_GB2312"/>
          <w:spacing w:val="-4"/>
        </w:rPr>
        <w:t>2017年5月2日，港珠澳大桥沉管隧道顺利合龙。7月7日，港珠澳大桥海底隧道段的连接工作顺利完成</w:t>
      </w:r>
      <w:r>
        <w:rPr>
          <w:rFonts w:hint="eastAsia" w:ascii="楷体_GB2312" w:hAnsi="楷体_GB2312" w:eastAsia="楷体_GB2312" w:cs="楷体_GB2312"/>
          <w:spacing w:val="-4"/>
          <w:lang w:eastAsia="zh-CN"/>
        </w:rPr>
        <w:t>。由广东省、香港、澳门三地政府出资，总造价高达</w:t>
      </w:r>
      <w:r>
        <w:rPr>
          <w:rFonts w:hint="eastAsia" w:ascii="楷体_GB2312" w:hAnsi="楷体_GB2312" w:eastAsia="楷体_GB2312" w:cs="楷体_GB2312"/>
          <w:spacing w:val="-4"/>
          <w:lang w:val="en-US" w:eastAsia="zh-CN"/>
        </w:rPr>
        <w:t>1100亿。</w:t>
      </w:r>
    </w:p>
    <w:p>
      <w:pPr>
        <w:pStyle w:val="2"/>
        <w:spacing w:line="278" w:lineRule="auto"/>
        <w:ind w:left="120" w:right="171" w:firstLine="419"/>
        <w:rPr>
          <w:rFonts w:hint="eastAsia" w:ascii="楷体_GB2312" w:hAnsi="楷体_GB2312" w:eastAsia="楷体_GB2312" w:cs="楷体_GB2312"/>
          <w:spacing w:val="-5"/>
        </w:rPr>
      </w:pPr>
      <w:r>
        <w:rPr>
          <w:rFonts w:hint="eastAsia" w:ascii="楷体_GB2312" w:hAnsi="楷体_GB2312" w:eastAsia="楷体_GB2312" w:cs="楷体_GB2312"/>
          <w:spacing w:val="-4"/>
        </w:rPr>
        <w:t xml:space="preserve">港珠澳大桥总长 </w:t>
      </w:r>
      <w:r>
        <w:rPr>
          <w:rFonts w:hint="eastAsia" w:ascii="楷体_GB2312" w:hAnsi="楷体_GB2312" w:eastAsia="楷体_GB2312" w:cs="楷体_GB2312"/>
        </w:rPr>
        <w:t>55</w:t>
      </w:r>
      <w:r>
        <w:rPr>
          <w:rFonts w:hint="eastAsia" w:ascii="楷体_GB2312" w:hAnsi="楷体_GB2312" w:eastAsia="楷体_GB2312" w:cs="楷体_GB2312"/>
          <w:spacing w:val="-7"/>
        </w:rPr>
        <w:t xml:space="preserve"> 千米，是迄今世界最长的跨海大桥，主</w:t>
      </w:r>
      <w:r>
        <w:rPr>
          <w:rFonts w:hint="eastAsia" w:ascii="楷体_GB2312" w:hAnsi="楷体_GB2312" w:eastAsia="楷体_GB2312" w:cs="楷体_GB2312"/>
          <w:spacing w:val="-9"/>
        </w:rPr>
        <w:t xml:space="preserve">体工程由 </w:t>
      </w:r>
      <w:r>
        <w:rPr>
          <w:rFonts w:hint="eastAsia" w:ascii="楷体_GB2312" w:hAnsi="楷体_GB2312" w:eastAsia="楷体_GB2312" w:cs="楷体_GB2312"/>
        </w:rPr>
        <w:t>6.7</w:t>
      </w:r>
      <w:r>
        <w:rPr>
          <w:rFonts w:hint="eastAsia" w:ascii="楷体_GB2312" w:hAnsi="楷体_GB2312" w:eastAsia="楷体_GB2312" w:cs="楷体_GB2312"/>
          <w:spacing w:val="-10"/>
        </w:rPr>
        <w:t xml:space="preserve"> 千米的海底沉管隧道和 </w:t>
      </w:r>
      <w:r>
        <w:rPr>
          <w:rFonts w:hint="eastAsia" w:ascii="楷体_GB2312" w:hAnsi="楷体_GB2312" w:eastAsia="楷体_GB2312" w:cs="楷体_GB2312"/>
        </w:rPr>
        <w:t>22.9</w:t>
      </w:r>
      <w:r>
        <w:rPr>
          <w:rFonts w:hint="eastAsia" w:ascii="楷体_GB2312" w:hAnsi="楷体_GB2312" w:eastAsia="楷体_GB2312" w:cs="楷体_GB2312"/>
          <w:spacing w:val="-8"/>
        </w:rPr>
        <w:t xml:space="preserve"> 千米的桥梁组成。</w:t>
      </w:r>
      <w:r>
        <w:rPr>
          <w:rFonts w:hint="eastAsia" w:ascii="楷体_GB2312" w:hAnsi="楷体_GB2312" w:eastAsia="楷体_GB2312" w:cs="楷体_GB2312"/>
          <w:spacing w:val="-8"/>
          <w:lang w:eastAsia="zh-CN"/>
        </w:rPr>
        <w:t>港珠澳大桥海底沉积物深厚，流动性强，铺设海底沉管隧道难度很大，</w:t>
      </w:r>
      <w:r>
        <w:rPr>
          <w:rFonts w:hint="eastAsia" w:ascii="楷体_GB2312" w:hAnsi="楷体_GB2312" w:eastAsia="楷体_GB2312" w:cs="楷体_GB2312"/>
          <w:spacing w:val="-8"/>
        </w:rPr>
        <w:t>沉管隧道是由预先制成的管道</w:t>
      </w:r>
      <w:r>
        <w:rPr>
          <w:rFonts w:hint="eastAsia" w:ascii="楷体_GB2312" w:hAnsi="楷体_GB2312" w:eastAsia="楷体_GB2312" w:cs="楷体_GB2312"/>
          <w:spacing w:val="-5"/>
        </w:rPr>
        <w:t>沉入开挖好的海底稳定地层、并连接而成的隧道。</w:t>
      </w: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33655</wp:posOffset>
            </wp:positionV>
            <wp:extent cx="4090035" cy="3119755"/>
            <wp:effectExtent l="0" t="0" r="9525" b="4445"/>
            <wp:wrapTight wrapText="bothSides">
              <wp:wrapPolygon>
                <wp:start x="0" y="0"/>
                <wp:lineTo x="0" y="21525"/>
                <wp:lineTo x="21489" y="21525"/>
                <wp:lineTo x="2148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3119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spacing w:line="278" w:lineRule="auto"/>
        <w:ind w:left="120" w:right="171" w:firstLine="419"/>
        <w:rPr>
          <w:rFonts w:hint="eastAsia" w:ascii="楷体" w:eastAsia="楷体"/>
          <w:spacing w:val="-5"/>
          <w:lang w:val="en-US" w:eastAsia="zh-CN"/>
        </w:rPr>
      </w:pPr>
    </w:p>
    <w:p>
      <w:pPr>
        <w:pStyle w:val="2"/>
        <w:numPr>
          <w:ilvl w:val="0"/>
          <w:numId w:val="1"/>
        </w:numPr>
        <w:spacing w:line="278" w:lineRule="auto"/>
        <w:ind w:left="0" w:leftChars="0" w:right="171" w:firstLine="0" w:firstLineChars="0"/>
        <w:rPr>
          <w:rFonts w:hint="eastAsia" w:ascii="宋体" w:hAnsi="宋体" w:eastAsia="宋体" w:cs="宋体"/>
          <w:spacing w:val="-5"/>
          <w:lang w:val="en-US" w:eastAsia="zh-CN"/>
        </w:rPr>
      </w:pPr>
      <w:r>
        <w:rPr>
          <w:rFonts w:hint="eastAsia" w:ascii="宋体" w:hAnsi="宋体" w:eastAsia="宋体" w:cs="宋体"/>
          <w:spacing w:val="-5"/>
          <w:lang w:val="en-US" w:eastAsia="zh-CN"/>
        </w:rPr>
        <w:t>简述港珠澳大桥施工难度大、造价高的原因。（4分）</w:t>
      </w:r>
    </w:p>
    <w:p>
      <w:pPr>
        <w:pStyle w:val="2"/>
        <w:widowControl w:val="0"/>
        <w:numPr>
          <w:ilvl w:val="0"/>
          <w:numId w:val="0"/>
        </w:numPr>
        <w:spacing w:before="43" w:line="278" w:lineRule="auto"/>
        <w:ind w:right="171" w:rightChars="0"/>
        <w:jc w:val="both"/>
        <w:rPr>
          <w:rFonts w:hint="eastAsia" w:ascii="宋体" w:hAnsi="宋体" w:eastAsia="宋体" w:cs="宋体"/>
          <w:spacing w:val="-5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43" w:line="278" w:lineRule="auto"/>
        <w:ind w:right="171" w:rightChars="0"/>
        <w:jc w:val="both"/>
        <w:rPr>
          <w:rFonts w:hint="eastAsia" w:ascii="宋体" w:hAnsi="宋体" w:eastAsia="宋体" w:cs="宋体"/>
          <w:spacing w:val="-5"/>
          <w:lang w:val="en-US" w:eastAsia="zh-CN"/>
        </w:rPr>
      </w:pPr>
    </w:p>
    <w:p>
      <w:pPr>
        <w:pStyle w:val="2"/>
        <w:widowControl w:val="0"/>
        <w:numPr>
          <w:ilvl w:val="0"/>
          <w:numId w:val="1"/>
        </w:numPr>
        <w:spacing w:before="43" w:line="278" w:lineRule="auto"/>
        <w:ind w:left="0" w:leftChars="0" w:right="171" w:rightChars="0" w:firstLine="0" w:firstLineChars="0"/>
        <w:jc w:val="both"/>
        <w:rPr>
          <w:rFonts w:hint="eastAsia" w:ascii="宋体" w:hAnsi="宋体" w:eastAsia="宋体" w:cs="宋体"/>
          <w:spacing w:val="-5"/>
          <w:lang w:val="en-US" w:eastAsia="zh-CN"/>
        </w:rPr>
      </w:pPr>
      <w:r>
        <w:rPr>
          <w:rFonts w:hint="eastAsia" w:ascii="宋体" w:hAnsi="宋体" w:eastAsia="宋体" w:cs="宋体"/>
          <w:spacing w:val="-5"/>
          <w:lang w:val="en-US" w:eastAsia="zh-CN"/>
        </w:rPr>
        <w:t>简述港珠澳大桥能够修建的有利社会经济条件。（4分）</w:t>
      </w:r>
    </w:p>
    <w:p>
      <w:pPr>
        <w:pStyle w:val="2"/>
        <w:widowControl w:val="0"/>
        <w:numPr>
          <w:ilvl w:val="0"/>
          <w:numId w:val="0"/>
        </w:numPr>
        <w:spacing w:before="43" w:line="278" w:lineRule="auto"/>
        <w:ind w:right="171" w:rightChars="0"/>
        <w:jc w:val="both"/>
        <w:rPr>
          <w:rFonts w:hint="eastAsia" w:ascii="宋体" w:hAnsi="宋体" w:eastAsia="宋体" w:cs="宋体"/>
          <w:spacing w:val="-5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43" w:line="278" w:lineRule="auto"/>
        <w:ind w:right="171" w:rightChars="0"/>
        <w:jc w:val="both"/>
        <w:rPr>
          <w:rFonts w:hint="eastAsia" w:ascii="宋体" w:hAnsi="宋体" w:eastAsia="宋体" w:cs="宋体"/>
          <w:spacing w:val="-5"/>
          <w:lang w:val="en-US" w:eastAsia="zh-CN"/>
        </w:rPr>
      </w:pPr>
      <w:bookmarkStart w:id="0" w:name="_GoBack"/>
      <w:bookmarkEnd w:id="0"/>
    </w:p>
    <w:p>
      <w:pPr>
        <w:pStyle w:val="2"/>
        <w:widowControl w:val="0"/>
        <w:numPr>
          <w:ilvl w:val="0"/>
          <w:numId w:val="0"/>
        </w:numPr>
        <w:spacing w:before="43" w:line="278" w:lineRule="auto"/>
        <w:ind w:right="171" w:rightChars="0"/>
        <w:jc w:val="both"/>
        <w:rPr>
          <w:rFonts w:hint="eastAsia" w:ascii="宋体" w:hAnsi="宋体" w:eastAsia="宋体" w:cs="宋体"/>
          <w:spacing w:val="-5"/>
          <w:lang w:val="en-US" w:eastAsia="zh-CN"/>
        </w:rPr>
      </w:pPr>
    </w:p>
    <w:p>
      <w:pPr>
        <w:pStyle w:val="2"/>
        <w:widowControl w:val="0"/>
        <w:numPr>
          <w:ilvl w:val="0"/>
          <w:numId w:val="1"/>
        </w:numPr>
        <w:spacing w:before="43" w:line="278" w:lineRule="auto"/>
        <w:ind w:left="0" w:leftChars="0" w:right="171" w:rightChars="0" w:firstLine="0" w:firstLineChars="0"/>
        <w:jc w:val="both"/>
        <w:rPr>
          <w:rFonts w:hint="eastAsia" w:ascii="宋体" w:hAnsi="宋体" w:eastAsia="宋体" w:cs="宋体"/>
          <w:spacing w:val="-5"/>
          <w:lang w:val="en-US" w:eastAsia="zh-CN"/>
        </w:rPr>
      </w:pPr>
      <w:r>
        <w:rPr>
          <w:rFonts w:hint="eastAsia" w:ascii="宋体" w:hAnsi="宋体" w:eastAsia="宋体" w:cs="宋体"/>
          <w:spacing w:val="-5"/>
          <w:lang w:val="en-US" w:eastAsia="zh-CN"/>
        </w:rPr>
        <w:t>简述港珠澳大桥的修建对区域发展的影响。（10分）</w:t>
      </w:r>
    </w:p>
    <w:p>
      <w:pPr>
        <w:pStyle w:val="2"/>
        <w:widowControl w:val="0"/>
        <w:numPr>
          <w:ilvl w:val="0"/>
          <w:numId w:val="0"/>
        </w:numPr>
        <w:spacing w:before="43" w:line="278" w:lineRule="auto"/>
        <w:ind w:leftChars="0" w:right="171" w:rightChars="0"/>
        <w:jc w:val="both"/>
        <w:rPr>
          <w:rFonts w:hint="eastAsia" w:ascii="宋体" w:hAnsi="宋体" w:eastAsia="宋体" w:cs="宋体"/>
          <w:spacing w:val="-5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43" w:line="278" w:lineRule="auto"/>
        <w:ind w:leftChars="0" w:right="171" w:rightChars="0"/>
        <w:jc w:val="both"/>
        <w:rPr>
          <w:rFonts w:hint="eastAsia" w:asciiTheme="minorEastAsia" w:hAnsiTheme="minorEastAsia" w:eastAsiaTheme="minorEastAsia" w:cstheme="minorEastAsia"/>
          <w:spacing w:val="-5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43" w:line="278" w:lineRule="auto"/>
        <w:ind w:leftChars="0" w:right="171" w:rightChars="0"/>
        <w:jc w:val="both"/>
        <w:rPr>
          <w:rFonts w:hint="eastAsia" w:asciiTheme="minorEastAsia" w:hAnsiTheme="minorEastAsia" w:eastAsiaTheme="minorEastAsia" w:cstheme="minorEastAsia"/>
          <w:spacing w:val="-5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before="43" w:line="278" w:lineRule="auto"/>
        <w:ind w:leftChars="0" w:right="171" w:rightChars="0"/>
        <w:jc w:val="both"/>
        <w:rPr>
          <w:rFonts w:hint="eastAsia" w:asciiTheme="minorEastAsia" w:hAnsiTheme="minorEastAsia" w:eastAsiaTheme="minorEastAsia" w:cstheme="minorEastAsia"/>
          <w:spacing w:val="-5"/>
          <w:lang w:val="en-US" w:eastAsia="zh-CN"/>
        </w:rPr>
      </w:pPr>
    </w:p>
    <w:p>
      <w:pPr>
        <w:adjustRightInd w:val="0"/>
        <w:snapToGrid w:val="0"/>
        <w:spacing w:line="276" w:lineRule="auto"/>
        <w:jc w:val="both"/>
        <w:rPr>
          <w:rStyle w:val="8"/>
          <w:rFonts w:ascii="楷体" w:hAnsi="楷体" w:eastAsia="楷体"/>
        </w:rPr>
      </w:pPr>
    </w:p>
    <w:p>
      <w:pPr>
        <w:rPr>
          <w:rStyle w:val="8"/>
          <w:rFonts w:ascii="Times New Roman" w:hAnsi="Times New Roman" w:eastAsia="宋体" w:cs="Times New Roman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584B4"/>
    <w:multiLevelType w:val="singleLevel"/>
    <w:tmpl w:val="78F584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04D6E"/>
    <w:rsid w:val="0016268C"/>
    <w:rsid w:val="00275AB3"/>
    <w:rsid w:val="002A201C"/>
    <w:rsid w:val="002F58E7"/>
    <w:rsid w:val="003625BE"/>
    <w:rsid w:val="00367F7E"/>
    <w:rsid w:val="0039213A"/>
    <w:rsid w:val="003B5693"/>
    <w:rsid w:val="003E5776"/>
    <w:rsid w:val="00433B17"/>
    <w:rsid w:val="004C777C"/>
    <w:rsid w:val="00547F03"/>
    <w:rsid w:val="00595BA4"/>
    <w:rsid w:val="006C33F6"/>
    <w:rsid w:val="006F790D"/>
    <w:rsid w:val="007027BC"/>
    <w:rsid w:val="007157A4"/>
    <w:rsid w:val="007373BE"/>
    <w:rsid w:val="00845D55"/>
    <w:rsid w:val="00865FE0"/>
    <w:rsid w:val="008D3BF8"/>
    <w:rsid w:val="009165BF"/>
    <w:rsid w:val="0094278D"/>
    <w:rsid w:val="009A5EFF"/>
    <w:rsid w:val="00A06F14"/>
    <w:rsid w:val="00AA7C3A"/>
    <w:rsid w:val="00B60C35"/>
    <w:rsid w:val="00DF3F54"/>
    <w:rsid w:val="00E3123B"/>
    <w:rsid w:val="00E503F7"/>
    <w:rsid w:val="00F711F8"/>
    <w:rsid w:val="00F77E7E"/>
    <w:rsid w:val="51A7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3"/>
      <w:ind w:left="54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512</Characters>
  <Lines>4</Lines>
  <Paragraphs>1</Paragraphs>
  <TotalTime>11</TotalTime>
  <ScaleCrop>false</ScaleCrop>
  <LinksUpToDate>false</LinksUpToDate>
  <CharactersWithSpaces>600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2020-03-08T08:17:00Z</dcterms:created>
  <dc:creator>晓绪 商</dc:creator>
  <cp:lastModifiedBy>86133</cp:lastModifiedBy>
  <dcterms:modified xsi:type="dcterms:W3CDTF">2020-04-08T05:09:32Z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