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color w:val="auto"/>
          <w:kern w:val="0"/>
          <w:szCs w:val="21"/>
        </w:rPr>
      </w:pPr>
    </w:p>
    <w:p>
      <w:pPr>
        <w:spacing w:line="360" w:lineRule="atLeast"/>
        <w:jc w:val="center"/>
      </w:pPr>
      <w:r>
        <w:rPr>
          <w:rFonts w:hint="eastAsia" w:ascii="宋体" w:hAnsi="宋体"/>
          <w:b/>
          <w:sz w:val="24"/>
          <w:lang w:val="en-US" w:eastAsia="zh-CN"/>
        </w:rPr>
        <w:t>认识能源</w:t>
      </w:r>
      <w:r>
        <w:rPr>
          <w:rFonts w:hint="eastAsia" w:ascii="宋体" w:hAnsi="宋体" w:eastAsia="宋体" w:cs="黑体"/>
          <w:b/>
          <w:sz w:val="24"/>
        </w:rPr>
        <w:t>——拓展任务指导</w:t>
      </w:r>
    </w:p>
    <w:p>
      <w:pPr>
        <w:rPr>
          <w:rFonts w:hint="eastAsia"/>
          <w:color w:val="auto"/>
          <w:kern w:val="0"/>
          <w:szCs w:val="21"/>
        </w:rPr>
      </w:pPr>
    </w:p>
    <w:p>
      <w:pPr>
        <w:rPr>
          <w:rFonts w:hint="eastAsia"/>
          <w:color w:val="auto"/>
          <w:kern w:val="0"/>
          <w:szCs w:val="21"/>
        </w:rPr>
      </w:pPr>
    </w:p>
    <w:p>
      <w:pPr>
        <w:numPr>
          <w:ilvl w:val="0"/>
          <w:numId w:val="1"/>
        </w:numPr>
        <w:rPr>
          <w:rFonts w:hint="eastAsia"/>
          <w:color w:val="auto"/>
          <w:kern w:val="0"/>
          <w:szCs w:val="21"/>
          <w:lang w:val="en-US" w:eastAsia="zh-CN"/>
        </w:rPr>
      </w:pPr>
      <w:r>
        <w:rPr>
          <w:rFonts w:hint="eastAsia"/>
          <w:color w:val="auto"/>
          <w:kern w:val="0"/>
          <w:szCs w:val="21"/>
          <w:lang w:eastAsia="zh-CN"/>
        </w:rPr>
        <w:t>动能</w:t>
      </w:r>
      <w:r>
        <w:rPr>
          <w:rFonts w:hint="eastAsia"/>
          <w:color w:val="auto"/>
          <w:kern w:val="0"/>
          <w:szCs w:val="21"/>
          <w:lang w:val="en-US" w:eastAsia="zh-CN"/>
        </w:rPr>
        <w:t xml:space="preserve">   </w:t>
      </w:r>
    </w:p>
    <w:p>
      <w:pPr>
        <w:numPr>
          <w:numId w:val="0"/>
        </w:numPr>
        <w:rPr>
          <w:rFonts w:hint="eastAsia"/>
          <w:color w:val="auto"/>
        </w:rPr>
      </w:pPr>
      <w:r>
        <w:rPr>
          <w:rFonts w:hint="eastAsia"/>
          <w:color w:val="auto"/>
          <w:kern w:val="0"/>
          <w:szCs w:val="21"/>
        </w:rPr>
        <w:t>（2）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 xml:space="preserve"> 动能 </w:t>
      </w:r>
    </w:p>
    <w:p>
      <w:pPr>
        <w:numPr>
          <w:numId w:val="0"/>
        </w:numPr>
        <w:rPr>
          <w:rFonts w:hint="eastAsia"/>
          <w:color w:val="auto"/>
        </w:rPr>
      </w:pPr>
      <w:r>
        <w:rPr>
          <w:rFonts w:hint="eastAsia"/>
          <w:color w:val="auto"/>
          <w:kern w:val="0"/>
          <w:szCs w:val="21"/>
        </w:rPr>
        <w:t>（3）</w:t>
      </w:r>
      <w:r>
        <w:rPr>
          <w:rFonts w:hint="eastAsia"/>
          <w:color w:val="auto"/>
          <w:lang w:val="en-US" w:eastAsia="zh-CN"/>
        </w:rPr>
        <w:t>普通汽车尾气的污染是直接排放到空气中，无法回收处理，火电厂可以将废气及粉尘集中处理；发展纯电动汽车不仅可以有效地减小尾气污染，更是有效地减小对外石油依存度的国家战略。</w:t>
      </w:r>
      <w:r>
        <w:rPr>
          <w:rFonts w:hint="eastAsia" w:ascii="宋体" w:hAnsi="宋体"/>
          <w:color w:val="auto"/>
          <w:lang w:val="en-US" w:eastAsia="zh-CN"/>
        </w:rPr>
        <w:t xml:space="preserve"> </w:t>
      </w:r>
    </w:p>
    <w:p>
      <w:pPr>
        <w:rPr>
          <w:rFonts w:hint="eastAsia"/>
          <w:b/>
          <w:bCs/>
          <w:color w:val="auto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B9BC62"/>
    <w:multiLevelType w:val="singleLevel"/>
    <w:tmpl w:val="32B9BC62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4D098C"/>
    <w:rsid w:val="356C1EF9"/>
    <w:rsid w:val="4E4D098C"/>
    <w:rsid w:val="7A660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color w:val="000000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2020-04-12T08:07:00Z</dcterms:created>
  <dc:creator>宋小颂</dc:creator>
  <cp:lastModifiedBy>宋小颂</cp:lastModifiedBy>
  <dcterms:modified xsi:type="dcterms:W3CDTF">2020-04-12T12:51:38Z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