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高二年级历史第27课时《明清时期的文化B》拓展提升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任务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阅读材料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回答问题。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材料一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黄宗羲重新建构了中国思想传统中的天下观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在他看来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天下是天下百姓的天下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而不是皇帝的“囊中之物”。从“为天下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非为君也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为万民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非为一姓也”的观念出发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强调君臣应该合理分配职权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共治天下。在他看来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理想的社会应该是“天下为主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君为客”。遗憾的是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现实的社会往往却是“君主为主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天下为客”。这样的专制君主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“以天下之利尽归于己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以天下之害尽归于人”。黄宗羲激愤地说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“为天下之大害者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君而已矣!”黄宗羲对君主专制进行了前所未有的猛烈批判。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——摘编自刘勇强《集成与转型:明中叶至辛亥革命的精神文明》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依据材料并结合所学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说明黄宗羲“天下观”的含义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并分析其形成的背景。(6分)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材料二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梁启超在《清代学术概论》中概括清代学术思潮为“以复古为解放”。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依据材料和所学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举例说明晚清的“以复古为解放”。(6分)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39"/>
    <w:rsid w:val="00116C39"/>
    <w:rsid w:val="003830F2"/>
    <w:rsid w:val="004E34FD"/>
    <w:rsid w:val="008F1191"/>
    <w:rsid w:val="00A65DB7"/>
    <w:rsid w:val="00D349CE"/>
    <w:rsid w:val="244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0" w:lineRule="exact"/>
    </w:pPr>
    <w:rPr>
      <w:rFonts w:ascii="NEU-BZ" w:hAnsi="NEU-BZ" w:eastAsia="方正书宋_GBK" w:cstheme="minorBidi"/>
      <w:color w:val="000000"/>
      <w:kern w:val="0"/>
      <w:sz w:val="18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line="240" w:lineRule="auto"/>
    </w:pPr>
    <w:rPr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NEU-BZ" w:hAnsi="NEU-BZ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9</TotalTime>
  <ScaleCrop>false</ScaleCrop>
  <LinksUpToDate>false</LinksUpToDate>
  <CharactersWithSpaces>405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2020-04-03T02:41:00Z</dcterms:created>
  <dc:creator>lenovo</dc:creator>
  <cp:lastModifiedBy>徐海滨</cp:lastModifiedBy>
  <dcterms:modified xsi:type="dcterms:W3CDTF">2020-04-13T01:21:18Z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