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高二年级历史第2</w:t>
      </w:r>
      <w:r>
        <w:rPr>
          <w:rFonts w:hint="eastAsia" w:ascii="黑体" w:hAnsi="黑体" w:eastAsia="黑体" w:cs="黑体"/>
          <w:b/>
          <w:bCs/>
          <w:sz w:val="28"/>
          <w:szCs w:val="28"/>
          <w:lang w:val="en-US" w:eastAsia="zh-CN"/>
        </w:rPr>
        <w:t>6</w:t>
      </w:r>
      <w:r>
        <w:rPr>
          <w:rFonts w:hint="eastAsia" w:ascii="黑体" w:hAnsi="黑体" w:eastAsia="黑体" w:cs="黑体"/>
          <w:b/>
          <w:bCs/>
          <w:sz w:val="28"/>
          <w:szCs w:val="28"/>
        </w:rPr>
        <w:t>课时《明清时期的社会经济B》</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课后作业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1.从《齐民要术》到《农政全书》，中国古代的农书基本都记述了主要耕作方法、农具、技术和农产品加工等内容。这可以佐证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①科研方法注重实验观察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②精耕细作的生产特点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③农业发展达到很高水平            </w:t>
      </w:r>
      <w:r>
        <w:rPr>
          <w:rFonts w:hint="eastAsia" w:ascii="宋体" w:hAnsi="宋体" w:eastAsia="宋体" w:cs="宋体"/>
          <w:sz w:val="24"/>
          <w:szCs w:val="24"/>
        </w:rPr>
        <w:tab/>
      </w:r>
      <w:r>
        <w:rPr>
          <w:rFonts w:hint="eastAsia" w:ascii="宋体" w:hAnsi="宋体" w:eastAsia="宋体" w:cs="宋体"/>
          <w:sz w:val="24"/>
          <w:szCs w:val="24"/>
        </w:rPr>
        <w:t>④科技成果多源于经验总结</w:t>
      </w:r>
    </w:p>
    <w:p>
      <w:pPr>
        <w:spacing w:line="360" w:lineRule="auto"/>
        <w:rPr>
          <w:rFonts w:hint="eastAsia" w:ascii="宋体" w:hAnsi="宋体" w:eastAsia="宋体" w:cs="宋体"/>
          <w:sz w:val="24"/>
          <w:szCs w:val="24"/>
        </w:rPr>
      </w:pPr>
      <w:r>
        <w:rPr>
          <w:rFonts w:hint="eastAsia" w:ascii="宋体" w:hAnsi="宋体" w:eastAsia="宋体" w:cs="宋体"/>
          <w:sz w:val="24"/>
          <w:szCs w:val="24"/>
        </w:rPr>
        <w:t>A.①②③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B.①②④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C.②③④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D.①②③④</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4017645</wp:posOffset>
            </wp:positionH>
            <wp:positionV relativeFrom="paragraph">
              <wp:posOffset>542290</wp:posOffset>
            </wp:positionV>
            <wp:extent cx="1478915" cy="1552575"/>
            <wp:effectExtent l="0" t="0" r="6985" b="9525"/>
            <wp:wrapSquare wrapText="bothSides"/>
            <wp:docPr id="737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78915" cy="1552575"/>
                    </a:xfrm>
                    <a:prstGeom prst="rect">
                      <a:avLst/>
                    </a:prstGeom>
                    <a:noFill/>
                    <a:ln>
                      <a:noFill/>
                    </a:ln>
                  </pic:spPr>
                </pic:pic>
              </a:graphicData>
            </a:graphic>
          </wp:anchor>
        </w:drawing>
      </w:r>
      <w:r>
        <w:rPr>
          <w:rFonts w:hint="eastAsia" w:ascii="宋体" w:hAnsi="宋体" w:eastAsia="宋体" w:cs="宋体"/>
          <w:sz w:val="24"/>
          <w:szCs w:val="24"/>
        </w:rPr>
        <w:t>2.下图中的动物是郑和下西洋时外国使臣随船向明政府贡献的奇珍异兽。明朝君臣认为，这就是中国传说中的“麒麟”，明成祖遂厚赐外国使臣。这表明当时</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对外交流促使中国传统绘画出现新的类型</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朝廷用中国文化对朝贡贸易贡品加以解读</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海禁政策的解除促进了对外文化交流</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外来物品的传入推动了传统观念更新</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据记载，清初实施海禁前，“市井贸易，咸有外国货物，民间行使多以外国银钱，因而各省流行，所在皆有”。这一记载表明当时</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中国在对外贸易中处于优势地位</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外来货币干扰了中国资本市场</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自然经济受到了进口货物的冲击</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民间贸易发展冲击清廷的统治</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在古代史家的笔下，大江之南的乡村社会，“家给人足，居则有室，佃则有田，薪则有山，艺则有圃</w:t>
      </w:r>
      <w:r>
        <w:rPr>
          <w:rFonts w:hint="eastAsia" w:ascii="宋体" w:hAnsi="宋体" w:eastAsia="宋体" w:cs="宋体"/>
          <w:sz w:val="24"/>
          <w:szCs w:val="24"/>
        </w:rPr>
        <w:t>……</w:t>
      </w:r>
      <w:r>
        <w:rPr>
          <w:rFonts w:hint="eastAsia" w:ascii="宋体" w:hAnsi="宋体" w:eastAsia="宋体" w:cs="宋体"/>
          <w:sz w:val="24"/>
          <w:szCs w:val="24"/>
        </w:rPr>
        <w:t>婚媾依时，闾阎安堵，妇人纺织，男人桑蓬，臧获服劳，比邻敦睦。”该材料反映的农业经济状况是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土地过度集中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有田者无力可耕</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小农户个体经营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地权与劳动者契合</w:t>
      </w:r>
    </w:p>
    <w:p>
      <w:pPr>
        <w:spacing w:line="360" w:lineRule="auto"/>
        <w:rPr>
          <w:rFonts w:hint="eastAsia" w:ascii="宋体" w:hAnsi="宋体" w:eastAsia="宋体" w:cs="宋体"/>
          <w:sz w:val="24"/>
          <w:szCs w:val="24"/>
        </w:rPr>
      </w:pPr>
      <w:r>
        <w:rPr>
          <w:rFonts w:hint="eastAsia" w:ascii="宋体" w:hAnsi="宋体" w:eastAsia="宋体" w:cs="宋体"/>
          <w:sz w:val="24"/>
          <w:szCs w:val="24"/>
        </w:rPr>
        <w:t>5.明隆庆初年,“抚臣涂泽民用鉴前辙</w:t>
      </w:r>
      <w:r>
        <w:rPr>
          <w:rFonts w:hint="eastAsia" w:ascii="宋体" w:hAnsi="宋体" w:eastAsia="宋体" w:cs="宋体"/>
          <w:sz w:val="24"/>
          <w:szCs w:val="24"/>
          <w:lang w:val="en-US" w:eastAsia="zh-CN"/>
        </w:rPr>
        <w:t>,</w:t>
      </w:r>
      <w:r>
        <w:rPr>
          <w:rFonts w:hint="eastAsia" w:ascii="宋体" w:hAnsi="宋体" w:eastAsia="宋体" w:cs="宋体"/>
          <w:sz w:val="24"/>
          <w:szCs w:val="24"/>
        </w:rPr>
        <w:t>为因势利导之举,请开市舶,易私贩而为公贩,易只通东西二洋,不得往日本倭国,亦禁不得以硝黄、铜、铁违禁之物夹带出海。奉旨允行,凡三十载,幸大盗不作,而海宇宴如。”这说明当时</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官府废止明初以来“海禁”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官府有条件地开放“海禁”</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巡抚掌握对外贸易决策权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官方朝贡贸易体系已瓦解</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乾隆以后，“关东每岁有商船二三千只至于上海”，“载豆、麦、杂粟，一岁三运以为常”。据此，判断有误的是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商品经济繁荣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长途贩运发达</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区域经济发展</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抑商政策改变</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明朝时，“田中事，田主一切不问，皆佃农任之”，地主与佃农之间，“交租之外，两不相问”。此种现象反映出当时</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地主与佃农间存在雇佣关系</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土地所有权与经营权没有分离</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佃农有较大的生产自主权</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租佃制抑制了佃农生产积极性</w:t>
      </w:r>
    </w:p>
    <w:p>
      <w:pPr>
        <w:spacing w:line="360" w:lineRule="auto"/>
        <w:rPr>
          <w:rFonts w:hint="eastAsia" w:ascii="宋体" w:hAnsi="宋体" w:eastAsia="宋体" w:cs="宋体"/>
          <w:sz w:val="24"/>
          <w:szCs w:val="24"/>
        </w:rPr>
      </w:pPr>
      <w:r>
        <w:rPr>
          <w:rFonts w:hint="eastAsia" w:ascii="宋体" w:hAnsi="宋体" w:eastAsia="宋体" w:cs="宋体"/>
          <w:sz w:val="24"/>
          <w:szCs w:val="24"/>
        </w:rPr>
        <w:t>8.史学研究中非常注重史论结合，论从史出。以下史实和结论之间逻辑关系正确的是</w:t>
      </w:r>
    </w:p>
    <w:tbl>
      <w:tblPr>
        <w:tblStyle w:val="6"/>
        <w:tblW w:w="0" w:type="auto"/>
        <w:tblInd w:w="15" w:type="dxa"/>
        <w:tblLayout w:type="fixed"/>
        <w:tblCellMar>
          <w:top w:w="0" w:type="dxa"/>
          <w:left w:w="0" w:type="dxa"/>
          <w:bottom w:w="0" w:type="dxa"/>
          <w:right w:w="0" w:type="dxa"/>
        </w:tblCellMar>
      </w:tblPr>
      <w:tblGrid>
        <w:gridCol w:w="451"/>
        <w:gridCol w:w="5241"/>
        <w:gridCol w:w="2516"/>
      </w:tblGrid>
      <w:tr>
        <w:tblPrEx>
          <w:tblCellMar>
            <w:top w:w="0" w:type="dxa"/>
            <w:left w:w="0" w:type="dxa"/>
            <w:bottom w:w="0" w:type="dxa"/>
            <w:right w:w="0" w:type="dxa"/>
          </w:tblCellMar>
        </w:tblPrEx>
        <w:trPr>
          <w:trHeight w:val="393" w:hRule="atLeast"/>
        </w:trPr>
        <w:tc>
          <w:tcPr>
            <w:tcW w:w="451" w:type="dxa"/>
            <w:tcBorders>
              <w:top w:val="single" w:color="auto" w:sz="12" w:space="0"/>
              <w:left w:val="single" w:color="auto" w:sz="12" w:space="0"/>
              <w:bottom w:val="single" w:color="auto" w:sz="8" w:space="0"/>
              <w:right w:val="single" w:color="auto" w:sz="8" w:space="0"/>
            </w:tcBorders>
          </w:tcPr>
          <w:p>
            <w:pPr>
              <w:spacing w:line="360" w:lineRule="auto"/>
              <w:jc w:val="center"/>
              <w:rPr>
                <w:rFonts w:hint="eastAsia" w:ascii="楷体" w:hAnsi="楷体" w:eastAsia="楷体" w:cs="楷体"/>
                <w:sz w:val="24"/>
                <w:szCs w:val="24"/>
              </w:rPr>
            </w:pPr>
          </w:p>
        </w:tc>
        <w:tc>
          <w:tcPr>
            <w:tcW w:w="5241" w:type="dxa"/>
            <w:tcBorders>
              <w:top w:val="single" w:color="auto" w:sz="12" w:space="0"/>
              <w:left w:val="single" w:color="auto" w:sz="8" w:space="0"/>
              <w:bottom w:val="single" w:color="auto" w:sz="8" w:space="0"/>
              <w:right w:val="single" w:color="auto" w:sz="8" w:space="0"/>
            </w:tcBorders>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史  实</w:t>
            </w:r>
          </w:p>
        </w:tc>
        <w:tc>
          <w:tcPr>
            <w:tcW w:w="2516" w:type="dxa"/>
            <w:tcBorders>
              <w:top w:val="single" w:color="auto" w:sz="12" w:space="0"/>
              <w:left w:val="single" w:color="auto" w:sz="8" w:space="0"/>
              <w:bottom w:val="single" w:color="auto" w:sz="8" w:space="0"/>
              <w:right w:val="single" w:color="auto" w:sz="12" w:space="0"/>
            </w:tcBorders>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结论</w:t>
            </w:r>
          </w:p>
        </w:tc>
      </w:tr>
      <w:tr>
        <w:tblPrEx>
          <w:tblCellMar>
            <w:top w:w="0" w:type="dxa"/>
            <w:left w:w="0" w:type="dxa"/>
            <w:bottom w:w="0" w:type="dxa"/>
            <w:right w:w="0" w:type="dxa"/>
          </w:tblCellMar>
        </w:tblPrEx>
        <w:trPr>
          <w:trHeight w:val="739" w:hRule="atLeast"/>
        </w:trPr>
        <w:tc>
          <w:tcPr>
            <w:tcW w:w="451" w:type="dxa"/>
            <w:tcBorders>
              <w:top w:val="single" w:color="auto" w:sz="8" w:space="0"/>
              <w:left w:val="single" w:color="auto" w:sz="12" w:space="0"/>
              <w:bottom w:val="single" w:color="auto" w:sz="8" w:space="0"/>
              <w:right w:val="single" w:color="auto" w:sz="8" w:space="0"/>
            </w:tcBorders>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A</w:t>
            </w:r>
          </w:p>
          <w:p>
            <w:pPr>
              <w:spacing w:line="360" w:lineRule="auto"/>
              <w:jc w:val="center"/>
              <w:rPr>
                <w:rFonts w:hint="eastAsia" w:ascii="楷体" w:hAnsi="楷体" w:eastAsia="楷体" w:cs="楷体"/>
                <w:sz w:val="24"/>
                <w:szCs w:val="24"/>
              </w:rPr>
            </w:pPr>
          </w:p>
        </w:tc>
        <w:tc>
          <w:tcPr>
            <w:tcW w:w="5241" w:type="dxa"/>
            <w:tcBorders>
              <w:top w:val="single" w:color="auto" w:sz="8" w:space="0"/>
              <w:left w:val="single" w:color="auto" w:sz="8" w:space="0"/>
              <w:bottom w:val="single" w:color="auto" w:sz="8" w:space="0"/>
              <w:right w:val="single" w:color="auto" w:sz="8"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大抵徽俗，人十三（十分之三）在邑，十七在天下；其所积蓄，则十一在内，十九在外</w:t>
            </w:r>
          </w:p>
        </w:tc>
        <w:tc>
          <w:tcPr>
            <w:tcW w:w="2516" w:type="dxa"/>
            <w:tcBorders>
              <w:top w:val="single" w:color="auto" w:sz="8" w:space="0"/>
              <w:left w:val="single" w:color="auto" w:sz="8" w:space="0"/>
              <w:bottom w:val="single" w:color="auto" w:sz="8" w:space="0"/>
              <w:right w:val="single" w:color="auto" w:sz="12"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微商重视买田置地，扩大再生产</w:t>
            </w:r>
          </w:p>
        </w:tc>
      </w:tr>
      <w:tr>
        <w:tblPrEx>
          <w:tblCellMar>
            <w:top w:w="0" w:type="dxa"/>
            <w:left w:w="0" w:type="dxa"/>
            <w:bottom w:w="0" w:type="dxa"/>
            <w:right w:w="0" w:type="dxa"/>
          </w:tblCellMar>
        </w:tblPrEx>
        <w:trPr>
          <w:trHeight w:val="739" w:hRule="atLeast"/>
        </w:trPr>
        <w:tc>
          <w:tcPr>
            <w:tcW w:w="451" w:type="dxa"/>
            <w:tcBorders>
              <w:top w:val="single" w:color="auto" w:sz="8" w:space="0"/>
              <w:left w:val="single" w:color="auto" w:sz="12" w:space="0"/>
              <w:bottom w:val="single" w:color="auto" w:sz="8" w:space="0"/>
              <w:right w:val="single" w:color="auto" w:sz="8" w:space="0"/>
            </w:tcBorders>
          </w:tcPr>
          <w:p>
            <w:pPr>
              <w:spacing w:line="360" w:lineRule="auto"/>
              <w:jc w:val="center"/>
              <w:rPr>
                <w:rFonts w:hint="eastAsia" w:ascii="楷体" w:hAnsi="楷体" w:eastAsia="楷体" w:cs="楷体"/>
                <w:sz w:val="24"/>
                <w:szCs w:val="24"/>
              </w:rPr>
            </w:pP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B</w:t>
            </w:r>
          </w:p>
        </w:tc>
        <w:tc>
          <w:tcPr>
            <w:tcW w:w="5241" w:type="dxa"/>
            <w:tcBorders>
              <w:top w:val="single" w:color="auto" w:sz="8" w:space="0"/>
              <w:left w:val="single" w:color="auto" w:sz="8" w:space="0"/>
              <w:bottom w:val="single" w:color="auto" w:sz="8" w:space="0"/>
              <w:right w:val="single" w:color="auto" w:sz="8"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除却穿衣吃饭，无伦物（指人伦物理）矣……非衣饭之外，更有所谓种种绝与百姓不相同者也</w:t>
            </w:r>
          </w:p>
        </w:tc>
        <w:tc>
          <w:tcPr>
            <w:tcW w:w="2516" w:type="dxa"/>
            <w:tcBorders>
              <w:top w:val="single" w:color="auto" w:sz="8" w:space="0"/>
              <w:left w:val="single" w:color="auto" w:sz="8" w:space="0"/>
              <w:bottom w:val="single" w:color="auto" w:sz="8" w:space="0"/>
              <w:right w:val="single" w:color="auto" w:sz="12"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作者强调天理与人欲是对立关系</w:t>
            </w:r>
          </w:p>
        </w:tc>
      </w:tr>
      <w:tr>
        <w:tblPrEx>
          <w:tblCellMar>
            <w:top w:w="0" w:type="dxa"/>
            <w:left w:w="0" w:type="dxa"/>
            <w:bottom w:w="0" w:type="dxa"/>
            <w:right w:w="0" w:type="dxa"/>
          </w:tblCellMar>
        </w:tblPrEx>
        <w:trPr>
          <w:trHeight w:val="729" w:hRule="atLeast"/>
        </w:trPr>
        <w:tc>
          <w:tcPr>
            <w:tcW w:w="451" w:type="dxa"/>
            <w:tcBorders>
              <w:top w:val="single" w:color="auto" w:sz="8" w:space="0"/>
              <w:left w:val="single" w:color="auto" w:sz="12" w:space="0"/>
              <w:bottom w:val="single" w:color="auto" w:sz="8" w:space="0"/>
              <w:right w:val="single" w:color="auto" w:sz="8" w:space="0"/>
            </w:tcBorders>
          </w:tcPr>
          <w:p>
            <w:pPr>
              <w:spacing w:line="360" w:lineRule="auto"/>
              <w:jc w:val="center"/>
              <w:rPr>
                <w:rFonts w:hint="eastAsia" w:ascii="楷体" w:hAnsi="楷体" w:eastAsia="楷体" w:cs="楷体"/>
                <w:sz w:val="24"/>
                <w:szCs w:val="24"/>
              </w:rPr>
            </w:pP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C</w:t>
            </w:r>
          </w:p>
        </w:tc>
        <w:tc>
          <w:tcPr>
            <w:tcW w:w="5241" w:type="dxa"/>
            <w:tcBorders>
              <w:top w:val="single" w:color="auto" w:sz="8" w:space="0"/>
              <w:left w:val="single" w:color="auto" w:sz="8" w:space="0"/>
              <w:bottom w:val="single" w:color="auto" w:sz="8" w:space="0"/>
              <w:right w:val="single" w:color="auto" w:sz="8"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明朝中期，景德镇陶瓷业有官窑58座，民窑二三百座，一部分宫廷所用瓷器的烧制由民窑完成</w:t>
            </w:r>
          </w:p>
        </w:tc>
        <w:tc>
          <w:tcPr>
            <w:tcW w:w="2516" w:type="dxa"/>
            <w:tcBorders>
              <w:top w:val="single" w:color="auto" w:sz="8" w:space="0"/>
              <w:left w:val="single" w:color="auto" w:sz="8" w:space="0"/>
              <w:bottom w:val="single" w:color="auto" w:sz="8" w:space="0"/>
              <w:right w:val="single" w:color="auto" w:sz="12"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民营手工业占据全社会手工业生产的主导地位</w:t>
            </w:r>
          </w:p>
        </w:tc>
      </w:tr>
      <w:tr>
        <w:tblPrEx>
          <w:tblCellMar>
            <w:top w:w="0" w:type="dxa"/>
            <w:left w:w="0" w:type="dxa"/>
            <w:bottom w:w="0" w:type="dxa"/>
            <w:right w:w="0" w:type="dxa"/>
          </w:tblCellMar>
        </w:tblPrEx>
        <w:trPr>
          <w:trHeight w:val="700" w:hRule="atLeast"/>
        </w:trPr>
        <w:tc>
          <w:tcPr>
            <w:tcW w:w="451" w:type="dxa"/>
            <w:tcBorders>
              <w:top w:val="single" w:color="auto" w:sz="8" w:space="0"/>
              <w:left w:val="single" w:color="auto" w:sz="12" w:space="0"/>
              <w:bottom w:val="single" w:color="auto" w:sz="12" w:space="0"/>
              <w:right w:val="single" w:color="auto" w:sz="8" w:space="0"/>
            </w:tcBorders>
          </w:tcPr>
          <w:p>
            <w:pPr>
              <w:spacing w:line="360" w:lineRule="auto"/>
              <w:jc w:val="center"/>
              <w:rPr>
                <w:rFonts w:hint="eastAsia" w:ascii="楷体" w:hAnsi="楷体" w:eastAsia="楷体" w:cs="楷体"/>
                <w:sz w:val="24"/>
                <w:szCs w:val="24"/>
              </w:rPr>
            </w:pP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D</w:t>
            </w:r>
          </w:p>
        </w:tc>
        <w:tc>
          <w:tcPr>
            <w:tcW w:w="5241" w:type="dxa"/>
            <w:tcBorders>
              <w:top w:val="single" w:color="auto" w:sz="8" w:space="0"/>
              <w:left w:val="single" w:color="auto" w:sz="8" w:space="0"/>
              <w:bottom w:val="single" w:color="auto" w:sz="12" w:space="0"/>
              <w:right w:val="single" w:color="auto" w:sz="8"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16世纪中期至17世纪中期，美洲和日本生产的白银合计38000吨；最终流人中国的白银7000或10000吨。</w:t>
            </w:r>
          </w:p>
        </w:tc>
        <w:tc>
          <w:tcPr>
            <w:tcW w:w="2516" w:type="dxa"/>
            <w:tcBorders>
              <w:top w:val="single" w:color="auto" w:sz="8" w:space="0"/>
              <w:left w:val="single" w:color="auto" w:sz="8" w:space="0"/>
              <w:bottom w:val="single" w:color="auto" w:sz="12" w:space="0"/>
              <w:right w:val="single" w:color="auto" w:sz="12" w:space="0"/>
            </w:tcBorders>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中国商品拥有广阔的海外市场</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9.下列关于中国古代手工业发展情况的描述正确的是</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①有官营、民营、工场手工业三种基本形态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②官营手工业对商品经济有一定的阻碍作用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③明清时期私营手工业占据了主导地位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④从唐代起瓷器成为中华文明新的象征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①③④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①②③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②③④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①②④</w:t>
      </w:r>
    </w:p>
    <w:p>
      <w:pPr>
        <w:spacing w:line="360" w:lineRule="auto"/>
        <w:rPr>
          <w:rFonts w:hint="eastAsia" w:ascii="宋体" w:hAnsi="宋体" w:eastAsia="宋体" w:cs="宋体"/>
          <w:sz w:val="24"/>
          <w:szCs w:val="24"/>
        </w:rPr>
      </w:pPr>
      <w:r>
        <w:rPr>
          <w:rFonts w:hint="eastAsia" w:ascii="宋体" w:hAnsi="宋体" w:eastAsia="宋体" w:cs="宋体"/>
          <w:sz w:val="24"/>
          <w:szCs w:val="24"/>
        </w:rPr>
        <w:t>10.下列材料不能体现中国古代重农抑商主张的是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A．“戮力本业，耕织致粟帛多者，复其身。事末利及怠而贫者，举以为收孥（官奴）。”</w:t>
      </w:r>
    </w:p>
    <w:p>
      <w:pPr>
        <w:spacing w:line="360" w:lineRule="auto"/>
        <w:rPr>
          <w:rFonts w:hint="eastAsia" w:ascii="宋体" w:hAnsi="宋体" w:eastAsia="宋体" w:cs="宋体"/>
          <w:sz w:val="24"/>
          <w:szCs w:val="24"/>
        </w:rPr>
      </w:pPr>
      <w:r>
        <w:rPr>
          <w:rFonts w:hint="eastAsia" w:ascii="宋体" w:hAnsi="宋体" w:eastAsia="宋体" w:cs="宋体"/>
          <w:sz w:val="24"/>
          <w:szCs w:val="24"/>
        </w:rPr>
        <w:t>B．“商不得通有无以利农，则农病；农不得力本穑以资商，则商病。”</w:t>
      </w:r>
    </w:p>
    <w:p>
      <w:pPr>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C．“凡士工商贾，皆赖食于农，以故农为天下之本务，而工贾皆其末也。”</w:t>
      </w:r>
    </w:p>
    <w:p>
      <w:pPr>
        <w:spacing w:line="360" w:lineRule="auto"/>
        <w:rPr>
          <w:rFonts w:hint="eastAsia" w:ascii="宋体" w:hAnsi="宋体" w:eastAsia="宋体" w:cs="宋体"/>
          <w:sz w:val="24"/>
          <w:szCs w:val="24"/>
        </w:rPr>
      </w:pPr>
      <w:r>
        <w:rPr>
          <w:rFonts w:hint="eastAsia" w:ascii="宋体" w:hAnsi="宋体" w:eastAsia="宋体" w:cs="宋体"/>
          <w:sz w:val="24"/>
          <w:szCs w:val="24"/>
        </w:rPr>
        <w:t>D．“山右（今山西）大约商贾居首，其次者犹肯力农……朕所悉知，习俗殊可笑。”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0F"/>
    <w:rsid w:val="000E5209"/>
    <w:rsid w:val="001C38F6"/>
    <w:rsid w:val="00206ABC"/>
    <w:rsid w:val="002B4FEC"/>
    <w:rsid w:val="00355D82"/>
    <w:rsid w:val="004079A6"/>
    <w:rsid w:val="00582416"/>
    <w:rsid w:val="0061310F"/>
    <w:rsid w:val="007A753D"/>
    <w:rsid w:val="00850F85"/>
    <w:rsid w:val="008C5641"/>
    <w:rsid w:val="00947722"/>
    <w:rsid w:val="00A4770F"/>
    <w:rsid w:val="00A514EB"/>
    <w:rsid w:val="00E17CDB"/>
    <w:rsid w:val="00E74ED7"/>
    <w:rsid w:val="00FA6800"/>
    <w:rsid w:val="2F8E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semiHidden/>
    <w:unhideWhenUsed/>
    <w:uiPriority w:val="99"/>
    <w:rPr>
      <w:color w:val="0000CC"/>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Words>
  <Characters>1440</Characters>
  <Lines>12</Lines>
  <Paragraphs>3</Paragraphs>
  <TotalTime>124</TotalTime>
  <ScaleCrop>false</ScaleCrop>
  <LinksUpToDate>false</LinksUpToDate>
  <CharactersWithSpaces>1689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2020-04-05T04:10:00Z</dcterms:created>
  <dc:creator>g</dc:creator>
  <cp:lastModifiedBy>徐海滨</cp:lastModifiedBy>
  <dcterms:modified xsi:type="dcterms:W3CDTF">2020-04-08T06:10:08Z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