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B6" w:rsidRPr="00A662A2" w:rsidRDefault="002C66B6" w:rsidP="00A662A2">
      <w:pPr>
        <w:jc w:val="center"/>
        <w:rPr>
          <w:rFonts w:ascii="宋体" w:eastAsia="宋体" w:hAnsi="宋体" w:hint="eastAsia"/>
          <w:b/>
          <w:sz w:val="24"/>
          <w:szCs w:val="24"/>
        </w:rPr>
      </w:pPr>
      <w:bookmarkStart w:id="0" w:name="_GoBack"/>
      <w:r w:rsidRPr="00A662A2">
        <w:rPr>
          <w:rFonts w:ascii="宋体" w:eastAsia="宋体" w:hAnsi="宋体" w:hint="eastAsia"/>
          <w:b/>
          <w:sz w:val="24"/>
          <w:szCs w:val="24"/>
        </w:rPr>
        <w:t>高中名著阅读《论语》中</w:t>
      </w:r>
      <w:r w:rsidR="00A662A2" w:rsidRPr="00A662A2">
        <w:rPr>
          <w:rFonts w:ascii="宋体" w:eastAsia="宋体" w:hAnsi="宋体" w:hint="eastAsia"/>
          <w:b/>
          <w:sz w:val="24"/>
          <w:szCs w:val="24"/>
        </w:rPr>
        <w:t>与</w:t>
      </w:r>
      <w:r w:rsidRPr="00A662A2">
        <w:rPr>
          <w:rFonts w:ascii="宋体" w:eastAsia="宋体" w:hAnsi="宋体" w:hint="eastAsia"/>
          <w:b/>
          <w:sz w:val="24"/>
          <w:szCs w:val="24"/>
        </w:rPr>
        <w:t>颜回有关章句</w:t>
      </w:r>
    </w:p>
    <w:p w:rsidR="0081752E" w:rsidRPr="00A662A2" w:rsidRDefault="0081752E" w:rsidP="007A6B51">
      <w:pPr>
        <w:jc w:val="center"/>
        <w:rPr>
          <w:rFonts w:ascii="宋体" w:eastAsia="宋体" w:hAnsi="宋体"/>
          <w:sz w:val="24"/>
          <w:szCs w:val="24"/>
        </w:rPr>
      </w:pP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1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子曰：“吾与回言终日，不违如愚。退而省其私，亦足以发。回也，不愚。”（《</w:t>
      </w:r>
      <w:r w:rsidR="003D6169" w:rsidRPr="00A662A2">
        <w:rPr>
          <w:rStyle w:val="a7"/>
          <w:rFonts w:ascii="楷体" w:eastAsia="楷体" w:hAnsi="楷体" w:cs="Arial" w:hint="eastAsia"/>
          <w:i w:val="0"/>
          <w:iCs w:val="0"/>
          <w:sz w:val="24"/>
          <w:szCs w:val="24"/>
        </w:rPr>
        <w:t>论语</w:t>
      </w:r>
      <w:r w:rsidR="003D6169" w:rsidRPr="00A662A2">
        <w:rPr>
          <w:rFonts w:ascii="楷体" w:eastAsia="楷体" w:hAnsi="楷体" w:cs="Arial"/>
          <w:sz w:val="24"/>
          <w:szCs w:val="24"/>
          <w:shd w:val="clear" w:color="auto" w:fill="FFFFFF"/>
        </w:rPr>
        <w:t>·</w:t>
      </w:r>
      <w:r w:rsidRPr="00A662A2">
        <w:rPr>
          <w:rFonts w:ascii="楷体" w:eastAsia="楷体" w:hAnsi="楷体"/>
          <w:sz w:val="24"/>
          <w:szCs w:val="24"/>
        </w:rPr>
        <w:t>为政》）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 w:hint="eastAsia"/>
          <w:sz w:val="24"/>
          <w:szCs w:val="24"/>
        </w:rPr>
        <w:t xml:space="preserve">　　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2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子谓子贡曰：“女与回也孰愈？”对曰：“赐也何敢望回。回也闻一以知十，赐也闻一以知二。”子曰：“弗如也！吾与女弗如也。”（《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>公冶长》）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3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颜渊、季路侍。子曰：“盍各言尔志？”子路曰：“愿车马、衣轻裘，与朋友共。敝之而无憾。”颜渊曰：“愿无伐善，无施劳。”子路曰：“愿闻子之志。”子曰：“老者安之，朋友信之，少者怀之。”（《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>公冶长》）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4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哀公问：“弟子孰为好学？”孔子对曰：“有颜回者好学，不迁怒，不贰过。不幸短命死矣！今也则亡，未闻好学者也。”（《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>雍也》）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5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子曰：“回也，其心三月不违仁，其馀则日月至焉而已矣。”（《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>雍也》）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6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子曰：“贤哉回也！一箪食，一瓢饮，在陋巷。人不堪其忧，回也不改其乐。贤哉回也！”（《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>雍也》）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7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子谓颜渊曰：“用之则行，舍之则藏，唯我与尔有是夫！”子路曰：“子行三军，则谁与？”子曰：“暴虎冯河，死而无悔者，吾不与也。必也临事而惧，好谋而成者也。”（《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>述而》）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 w:hint="eastAsia"/>
          <w:sz w:val="24"/>
          <w:szCs w:val="24"/>
        </w:rPr>
        <w:t xml:space="preserve">　　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8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颜渊喟然叹曰：“仰之弥高，钻之弥坚；瞻之在前，忽焉在后。夫子循循然善诱人，博我以文，约我以礼。欲罢不能，既竭吾才，如有所立卓尔。虽欲从之，末由也已。”（《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>子罕》）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9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子曰：“语之而不惰者，其回也与！”（《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>子罕》）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10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子谓颜渊，曰：“惜乎！吾见其进也，未见其止也。”（《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>子罕》）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 w:hint="eastAsia"/>
          <w:sz w:val="24"/>
          <w:szCs w:val="24"/>
        </w:rPr>
        <w:t xml:space="preserve">　　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11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德行：颜渊，闵子骞，冉伯牛，仲弓。言语：宰我，子贡。政事：冉有，季路。文学：子游，子夏。（《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>先进》）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12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子曰：“回也非助我者也，于吾言无所不说。” 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 xml:space="preserve">先进》） 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13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季康子问：“弟子孰为好学？”孔子对曰：“有颜回者好学，不幸短命死矣！今也则亡。”（《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>先进》）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14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颜渊死，颜路请子之车以为之椁。子曰：“才不才，亦各言其子也。鲤也死，有棺而无椁。吾不徒行以为之椁。以吾从大夫之后，不可徒行也。”（《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>先进》）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lastRenderedPageBreak/>
        <w:t>15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颜渊死。子曰：“噫！天丧予！天丧予！”（《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>先进》）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16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颜渊死，子哭之恸。从者曰：“子恸矣。”曰：“有恸乎？非夫人之为恸而谁为！” 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 xml:space="preserve">先进》） 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17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颜渊死，门人欲厚葬之，子曰：“不可。”门人厚葬之。子曰：“回也视予犹父也，予不得视犹子也。非我也，夫二三子也。”（《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>先进》）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18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子曰：“回也其庶乎，屡空。赐不受命，而货殖焉，亿则屡中。” 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 xml:space="preserve">先进》） 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19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子畏于匡，颜渊后。子曰：“吾以女为死矣。”曰：“子在，回何敢死？”（《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>先进》）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20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颜渊问仁。子曰：“克己复礼为仁。一日克己复礼，天下归仁焉。为仁由己，而由人乎哉？”颜渊曰：“请问其目。”子曰：“非礼勿视，非礼勿听，非礼勿言，非礼勿动。”颜渊曰：“回虽不敏，请事斯语矣。”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>颜渊》）</w:t>
      </w:r>
    </w:p>
    <w:p w:rsidR="0081752E" w:rsidRPr="00A662A2" w:rsidRDefault="0081752E" w:rsidP="0081752E">
      <w:pPr>
        <w:rPr>
          <w:rFonts w:ascii="楷体" w:eastAsia="楷体" w:hAnsi="楷体"/>
          <w:sz w:val="24"/>
          <w:szCs w:val="24"/>
        </w:rPr>
      </w:pPr>
    </w:p>
    <w:p w:rsidR="008D2917" w:rsidRPr="00A662A2" w:rsidRDefault="0081752E" w:rsidP="0081752E">
      <w:pPr>
        <w:rPr>
          <w:rFonts w:ascii="楷体" w:eastAsia="楷体" w:hAnsi="楷体"/>
          <w:sz w:val="24"/>
          <w:szCs w:val="24"/>
        </w:rPr>
      </w:pPr>
      <w:r w:rsidRPr="00A662A2">
        <w:rPr>
          <w:rFonts w:ascii="楷体" w:eastAsia="楷体" w:hAnsi="楷体"/>
          <w:sz w:val="24"/>
          <w:szCs w:val="24"/>
        </w:rPr>
        <w:t>21</w:t>
      </w:r>
      <w:r w:rsidR="00FE610B" w:rsidRPr="00A662A2">
        <w:rPr>
          <w:rFonts w:ascii="楷体" w:eastAsia="楷体" w:hAnsi="楷体" w:hint="eastAsia"/>
          <w:sz w:val="24"/>
          <w:szCs w:val="24"/>
        </w:rPr>
        <w:t>．</w:t>
      </w:r>
      <w:r w:rsidRPr="00A662A2">
        <w:rPr>
          <w:rFonts w:ascii="楷体" w:eastAsia="楷体" w:hAnsi="楷体"/>
          <w:sz w:val="24"/>
          <w:szCs w:val="24"/>
        </w:rPr>
        <w:t>颜渊问为邦。子曰：“行夏之时，乘殷之辂，服周之冕，乐则韶舞。放郑声，远佞人。郑声淫，佞人殆。” （《</w:t>
      </w:r>
      <w:r w:rsidR="003D6169" w:rsidRPr="00A662A2">
        <w:rPr>
          <w:rFonts w:ascii="楷体" w:eastAsia="楷体" w:hAnsi="楷体" w:hint="eastAsia"/>
          <w:sz w:val="24"/>
          <w:szCs w:val="24"/>
        </w:rPr>
        <w:t>论语·</w:t>
      </w:r>
      <w:r w:rsidRPr="00A662A2">
        <w:rPr>
          <w:rFonts w:ascii="楷体" w:eastAsia="楷体" w:hAnsi="楷体"/>
          <w:sz w:val="24"/>
          <w:szCs w:val="24"/>
        </w:rPr>
        <w:t>卫灵公》）</w:t>
      </w:r>
    </w:p>
    <w:p w:rsidR="00FE610B" w:rsidRPr="00A662A2" w:rsidRDefault="00FE610B" w:rsidP="0081752E">
      <w:pPr>
        <w:rPr>
          <w:rFonts w:ascii="宋体" w:eastAsia="宋体" w:hAnsi="宋体"/>
          <w:sz w:val="24"/>
          <w:szCs w:val="24"/>
        </w:rPr>
      </w:pPr>
    </w:p>
    <w:bookmarkEnd w:id="0"/>
    <w:p w:rsidR="00E45FD4" w:rsidRPr="00A662A2" w:rsidRDefault="00E45FD4" w:rsidP="002C66B6">
      <w:pPr>
        <w:rPr>
          <w:rFonts w:ascii="宋体" w:eastAsia="宋体" w:hAnsi="宋体"/>
          <w:sz w:val="24"/>
          <w:szCs w:val="24"/>
        </w:rPr>
      </w:pPr>
    </w:p>
    <w:sectPr w:rsidR="00E45FD4" w:rsidRPr="00A6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8A" w:rsidRDefault="00D6048A" w:rsidP="002C66B6">
      <w:r>
        <w:separator/>
      </w:r>
    </w:p>
  </w:endnote>
  <w:endnote w:type="continuationSeparator" w:id="0">
    <w:p w:rsidR="00D6048A" w:rsidRDefault="00D6048A" w:rsidP="002C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8A" w:rsidRDefault="00D6048A" w:rsidP="002C66B6">
      <w:r>
        <w:separator/>
      </w:r>
    </w:p>
  </w:footnote>
  <w:footnote w:type="continuationSeparator" w:id="0">
    <w:p w:rsidR="00D6048A" w:rsidRDefault="00D6048A" w:rsidP="002C6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72EAC"/>
    <w:multiLevelType w:val="hybridMultilevel"/>
    <w:tmpl w:val="BEA0841C"/>
    <w:lvl w:ilvl="0" w:tplc="945AC8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4431A"/>
    <w:multiLevelType w:val="hybridMultilevel"/>
    <w:tmpl w:val="121E4C10"/>
    <w:lvl w:ilvl="0" w:tplc="2E840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2A6196"/>
    <w:multiLevelType w:val="hybridMultilevel"/>
    <w:tmpl w:val="A4DAC772"/>
    <w:lvl w:ilvl="0" w:tplc="96E8EC6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BC7054"/>
    <w:multiLevelType w:val="hybridMultilevel"/>
    <w:tmpl w:val="750CD53E"/>
    <w:lvl w:ilvl="0" w:tplc="E3781D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BE14CB"/>
    <w:multiLevelType w:val="hybridMultilevel"/>
    <w:tmpl w:val="3320AB5E"/>
    <w:lvl w:ilvl="0" w:tplc="0AF83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98"/>
    <w:rsid w:val="00005879"/>
    <w:rsid w:val="000303C3"/>
    <w:rsid w:val="00043662"/>
    <w:rsid w:val="00060FA6"/>
    <w:rsid w:val="00070059"/>
    <w:rsid w:val="0007668E"/>
    <w:rsid w:val="00076E13"/>
    <w:rsid w:val="00094EFD"/>
    <w:rsid w:val="000A0171"/>
    <w:rsid w:val="000E3E8C"/>
    <w:rsid w:val="00125B0C"/>
    <w:rsid w:val="0013009F"/>
    <w:rsid w:val="0016066C"/>
    <w:rsid w:val="00192F1D"/>
    <w:rsid w:val="001C3912"/>
    <w:rsid w:val="00212C17"/>
    <w:rsid w:val="00255EC7"/>
    <w:rsid w:val="00284765"/>
    <w:rsid w:val="002929EC"/>
    <w:rsid w:val="002C66B6"/>
    <w:rsid w:val="002D4BA8"/>
    <w:rsid w:val="003535D9"/>
    <w:rsid w:val="00356787"/>
    <w:rsid w:val="003873C1"/>
    <w:rsid w:val="003D6169"/>
    <w:rsid w:val="00486BC5"/>
    <w:rsid w:val="00486CC0"/>
    <w:rsid w:val="004A42E8"/>
    <w:rsid w:val="004A58DA"/>
    <w:rsid w:val="004F2391"/>
    <w:rsid w:val="005133A9"/>
    <w:rsid w:val="00532174"/>
    <w:rsid w:val="0057771B"/>
    <w:rsid w:val="005A1CBA"/>
    <w:rsid w:val="005F4979"/>
    <w:rsid w:val="00621A55"/>
    <w:rsid w:val="0065146A"/>
    <w:rsid w:val="006C41A2"/>
    <w:rsid w:val="006C46B1"/>
    <w:rsid w:val="00745CF8"/>
    <w:rsid w:val="00773006"/>
    <w:rsid w:val="00773269"/>
    <w:rsid w:val="007958FC"/>
    <w:rsid w:val="007A6B51"/>
    <w:rsid w:val="0081752E"/>
    <w:rsid w:val="00834D8C"/>
    <w:rsid w:val="00836325"/>
    <w:rsid w:val="008412C3"/>
    <w:rsid w:val="008D2917"/>
    <w:rsid w:val="009074BC"/>
    <w:rsid w:val="009303B2"/>
    <w:rsid w:val="009350A9"/>
    <w:rsid w:val="0094132E"/>
    <w:rsid w:val="00961D77"/>
    <w:rsid w:val="00963979"/>
    <w:rsid w:val="0099249A"/>
    <w:rsid w:val="009B5C9C"/>
    <w:rsid w:val="009B65F2"/>
    <w:rsid w:val="009C46B6"/>
    <w:rsid w:val="009E5AC4"/>
    <w:rsid w:val="009F0938"/>
    <w:rsid w:val="00A362C5"/>
    <w:rsid w:val="00A4024B"/>
    <w:rsid w:val="00A662A2"/>
    <w:rsid w:val="00A80129"/>
    <w:rsid w:val="00A87B47"/>
    <w:rsid w:val="00AB6B7D"/>
    <w:rsid w:val="00B10E4B"/>
    <w:rsid w:val="00B1137A"/>
    <w:rsid w:val="00B524BB"/>
    <w:rsid w:val="00BA1C4D"/>
    <w:rsid w:val="00BA2B45"/>
    <w:rsid w:val="00BA6B08"/>
    <w:rsid w:val="00BB5930"/>
    <w:rsid w:val="00BC47D2"/>
    <w:rsid w:val="00BE3432"/>
    <w:rsid w:val="00C0661F"/>
    <w:rsid w:val="00C56DD8"/>
    <w:rsid w:val="00C6686A"/>
    <w:rsid w:val="00C75BB5"/>
    <w:rsid w:val="00CC5EA6"/>
    <w:rsid w:val="00CC62D2"/>
    <w:rsid w:val="00CF7A31"/>
    <w:rsid w:val="00D44A36"/>
    <w:rsid w:val="00D6048A"/>
    <w:rsid w:val="00D81EE3"/>
    <w:rsid w:val="00D87C98"/>
    <w:rsid w:val="00D87F53"/>
    <w:rsid w:val="00D95A7A"/>
    <w:rsid w:val="00E45FD4"/>
    <w:rsid w:val="00ED316A"/>
    <w:rsid w:val="00F42CFD"/>
    <w:rsid w:val="00F47D7D"/>
    <w:rsid w:val="00F6638A"/>
    <w:rsid w:val="00F67674"/>
    <w:rsid w:val="00FC4621"/>
    <w:rsid w:val="00FE4B8E"/>
    <w:rsid w:val="00FE610B"/>
    <w:rsid w:val="00FE79B8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ECCCA"/>
  <w15:chartTrackingRefBased/>
  <w15:docId w15:val="{1592F05D-DF71-4EAB-BF01-EA2610D5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66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6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66B6"/>
    <w:rPr>
      <w:sz w:val="18"/>
      <w:szCs w:val="18"/>
    </w:rPr>
  </w:style>
  <w:style w:type="character" w:styleId="a7">
    <w:name w:val="Emphasis"/>
    <w:basedOn w:val="a0"/>
    <w:uiPriority w:val="20"/>
    <w:qFormat/>
    <w:rsid w:val="003D6169"/>
    <w:rPr>
      <w:i/>
      <w:iCs/>
    </w:rPr>
  </w:style>
  <w:style w:type="character" w:styleId="a8">
    <w:name w:val="Hyperlink"/>
    <w:basedOn w:val="a0"/>
    <w:uiPriority w:val="99"/>
    <w:unhideWhenUsed/>
    <w:rsid w:val="008D291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F1D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2DCE2-C9AC-4E61-87E1-1636F502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92</cp:revision>
  <dcterms:created xsi:type="dcterms:W3CDTF">2020-03-14T01:55:00Z</dcterms:created>
  <dcterms:modified xsi:type="dcterms:W3CDTF">2020-03-28T00:33:00Z</dcterms:modified>
</cp:coreProperties>
</file>