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F0EE1" w:rsidRPr="00932BA2" w:rsidRDefault="00932BA2" w:rsidP="00932BA2">
      <w:pPr>
        <w:jc w:val="center"/>
        <w:rPr>
          <w:sz w:val="28"/>
        </w:rPr>
      </w:pPr>
      <w:r w:rsidRPr="00932BA2">
        <w:rPr>
          <w:rFonts w:hint="eastAsia"/>
          <w:sz w:val="28"/>
        </w:rPr>
        <w:t>高一物理《</w:t>
      </w:r>
      <w:r w:rsidR="00493FB6">
        <w:rPr>
          <w:rFonts w:hint="eastAsia"/>
          <w:sz w:val="28"/>
        </w:rPr>
        <w:t>探究重力势能的表达式</w:t>
      </w:r>
      <w:r w:rsidRPr="00932BA2">
        <w:rPr>
          <w:rFonts w:hint="eastAsia"/>
          <w:sz w:val="28"/>
        </w:rPr>
        <w:t>》学习</w:t>
      </w:r>
      <w:r w:rsidR="00F32837">
        <w:rPr>
          <w:rFonts w:hint="eastAsia"/>
          <w:sz w:val="28"/>
        </w:rPr>
        <w:t>指南</w:t>
      </w:r>
    </w:p>
    <w:p w:rsidR="00932BA2" w:rsidRPr="00FC5D1E" w:rsidRDefault="00FC5D1E" w:rsidP="00FC5D1E">
      <w:pPr>
        <w:rPr>
          <w:sz w:val="24"/>
        </w:rPr>
      </w:pPr>
      <w:r>
        <w:rPr>
          <w:rFonts w:hint="eastAsia"/>
          <w:sz w:val="24"/>
        </w:rPr>
        <w:t>一、</w:t>
      </w:r>
      <w:r w:rsidR="00932BA2" w:rsidRPr="00FC5D1E">
        <w:rPr>
          <w:rFonts w:hint="eastAsia"/>
          <w:sz w:val="24"/>
        </w:rPr>
        <w:t>学习目标</w:t>
      </w:r>
    </w:p>
    <w:p w:rsidR="00F32837" w:rsidRPr="00FC5D1E" w:rsidRDefault="00FC5D1E" w:rsidP="00FC5D1E">
      <w:pPr>
        <w:ind w:firstLineChars="200" w:firstLine="480"/>
        <w:rPr>
          <w:sz w:val="24"/>
        </w:rPr>
      </w:pPr>
      <w:r>
        <w:rPr>
          <w:rFonts w:hint="eastAsia"/>
          <w:sz w:val="24"/>
        </w:rPr>
        <w:t>1</w:t>
      </w:r>
      <w:r>
        <w:rPr>
          <w:rFonts w:hint="eastAsia"/>
          <w:sz w:val="24"/>
        </w:rPr>
        <w:t>．</w:t>
      </w:r>
      <w:r w:rsidR="00493FB6">
        <w:rPr>
          <w:rFonts w:hint="eastAsia"/>
          <w:sz w:val="24"/>
        </w:rPr>
        <w:t>通过分析研究不同路径下重力做功的表达式，认识重力做功与路径无关的特点</w:t>
      </w:r>
      <w:r w:rsidR="00DC37D7">
        <w:rPr>
          <w:rFonts w:hint="eastAsia"/>
          <w:sz w:val="24"/>
        </w:rPr>
        <w:t>。</w:t>
      </w:r>
    </w:p>
    <w:p w:rsidR="00DC37D7" w:rsidRDefault="00FC5D1E" w:rsidP="00FC5D1E">
      <w:pPr>
        <w:ind w:firstLineChars="200" w:firstLine="480"/>
        <w:rPr>
          <w:sz w:val="24"/>
        </w:rPr>
      </w:pPr>
      <w:r>
        <w:rPr>
          <w:rFonts w:hint="eastAsia"/>
          <w:sz w:val="24"/>
        </w:rPr>
        <w:t>2</w:t>
      </w:r>
      <w:r>
        <w:rPr>
          <w:rFonts w:hint="eastAsia"/>
          <w:sz w:val="24"/>
        </w:rPr>
        <w:t>．</w:t>
      </w:r>
      <w:r w:rsidR="00493FB6">
        <w:rPr>
          <w:rFonts w:hint="eastAsia"/>
          <w:sz w:val="24"/>
        </w:rPr>
        <w:t>理解重力势能的概念。会用重力势能的定义</w:t>
      </w:r>
      <w:r w:rsidR="00DC37D7" w:rsidRPr="00FC5D1E">
        <w:rPr>
          <w:rFonts w:hint="eastAsia"/>
          <w:sz w:val="24"/>
        </w:rPr>
        <w:t>进行简单的判断或计算</w:t>
      </w:r>
      <w:r w:rsidR="005C3605">
        <w:rPr>
          <w:rFonts w:hint="eastAsia"/>
          <w:sz w:val="24"/>
        </w:rPr>
        <w:t>。</w:t>
      </w:r>
    </w:p>
    <w:p w:rsidR="00493FB6" w:rsidRDefault="00FC5D1E" w:rsidP="00FC5D1E">
      <w:pPr>
        <w:ind w:firstLineChars="200" w:firstLine="480"/>
        <w:rPr>
          <w:rFonts w:hint="eastAsia"/>
          <w:sz w:val="24"/>
        </w:rPr>
      </w:pPr>
      <w:r>
        <w:rPr>
          <w:rFonts w:hint="eastAsia"/>
          <w:sz w:val="24"/>
        </w:rPr>
        <w:t>3</w:t>
      </w:r>
      <w:r>
        <w:rPr>
          <w:rFonts w:hint="eastAsia"/>
          <w:sz w:val="24"/>
        </w:rPr>
        <w:t>．</w:t>
      </w:r>
      <w:r w:rsidR="00493FB6">
        <w:rPr>
          <w:rFonts w:hint="eastAsia"/>
          <w:sz w:val="24"/>
        </w:rPr>
        <w:t>理解重力做功与重力势能变化的关系。</w:t>
      </w:r>
    </w:p>
    <w:p w:rsidR="00493FB6" w:rsidRDefault="00493FB6" w:rsidP="00FC5D1E">
      <w:pPr>
        <w:ind w:firstLineChars="200" w:firstLine="480"/>
        <w:rPr>
          <w:rFonts w:hint="eastAsia"/>
          <w:sz w:val="24"/>
        </w:rPr>
      </w:pPr>
      <w:r>
        <w:rPr>
          <w:rFonts w:hint="eastAsia"/>
          <w:sz w:val="24"/>
        </w:rPr>
        <w:t xml:space="preserve">4.  </w:t>
      </w:r>
      <w:r>
        <w:rPr>
          <w:rFonts w:hint="eastAsia"/>
          <w:sz w:val="24"/>
        </w:rPr>
        <w:t>知道重力势能具有相对性和重力势能参考平面的选取原则。</w:t>
      </w:r>
    </w:p>
    <w:p w:rsidR="00F32837" w:rsidRPr="00FC5D1E" w:rsidRDefault="00493FB6" w:rsidP="00FC5D1E">
      <w:pPr>
        <w:ind w:firstLineChars="200" w:firstLine="480"/>
        <w:rPr>
          <w:sz w:val="24"/>
        </w:rPr>
      </w:pPr>
      <w:r>
        <w:rPr>
          <w:rFonts w:hint="eastAsia"/>
          <w:sz w:val="24"/>
        </w:rPr>
        <w:t xml:space="preserve">5.  </w:t>
      </w:r>
      <w:r>
        <w:rPr>
          <w:rFonts w:hint="eastAsia"/>
          <w:sz w:val="24"/>
        </w:rPr>
        <w:t>知道势能是系统共有的，重力势能是物体和地球系统所共有</w:t>
      </w:r>
      <w:r w:rsidR="00AD7117" w:rsidRPr="00FC5D1E">
        <w:rPr>
          <w:rFonts w:hint="eastAsia"/>
          <w:sz w:val="24"/>
        </w:rPr>
        <w:t>。</w:t>
      </w:r>
    </w:p>
    <w:p w:rsidR="00FC5D1E" w:rsidRPr="005C3605" w:rsidRDefault="00FC5D1E" w:rsidP="00FC5D1E">
      <w:pPr>
        <w:rPr>
          <w:sz w:val="24"/>
        </w:rPr>
      </w:pPr>
    </w:p>
    <w:p w:rsidR="00932BA2" w:rsidRPr="00FC5D1E" w:rsidRDefault="00FC5D1E" w:rsidP="00FC5D1E">
      <w:pPr>
        <w:rPr>
          <w:sz w:val="24"/>
        </w:rPr>
      </w:pPr>
      <w:r>
        <w:rPr>
          <w:rFonts w:hint="eastAsia"/>
          <w:sz w:val="24"/>
        </w:rPr>
        <w:t>二、</w:t>
      </w:r>
      <w:r w:rsidR="00932BA2" w:rsidRPr="00FC5D1E">
        <w:rPr>
          <w:rFonts w:hint="eastAsia"/>
          <w:sz w:val="24"/>
        </w:rPr>
        <w:t>学法指导</w:t>
      </w:r>
      <w:bookmarkStart w:id="0" w:name="_GoBack"/>
      <w:bookmarkEnd w:id="0"/>
    </w:p>
    <w:p w:rsidR="00CF4FDB" w:rsidRDefault="009D1B1C" w:rsidP="002F03DE">
      <w:pPr>
        <w:ind w:firstLineChars="200" w:firstLine="480"/>
        <w:rPr>
          <w:sz w:val="24"/>
        </w:rPr>
      </w:pPr>
      <w:r>
        <w:rPr>
          <w:rFonts w:hint="eastAsia"/>
          <w:sz w:val="24"/>
        </w:rPr>
        <w:t>1</w:t>
      </w:r>
      <w:r w:rsidR="00FC5D1E">
        <w:rPr>
          <w:rFonts w:hint="eastAsia"/>
          <w:sz w:val="24"/>
        </w:rPr>
        <w:t>．</w:t>
      </w:r>
      <w:r w:rsidR="002F03DE" w:rsidRPr="002F03DE">
        <w:rPr>
          <w:rFonts w:hint="eastAsia"/>
        </w:rPr>
        <w:t>通</w:t>
      </w:r>
      <w:r w:rsidR="002F03DE" w:rsidRPr="002F03DE">
        <w:rPr>
          <w:rFonts w:hint="eastAsia"/>
          <w:sz w:val="24"/>
        </w:rPr>
        <w:t>过重力功与路径无关的证明过程再次体会物理学中这种微分极限的思想（在必修</w:t>
      </w:r>
      <w:r w:rsidR="002F03DE" w:rsidRPr="002F03DE">
        <w:rPr>
          <w:sz w:val="24"/>
        </w:rPr>
        <w:t>1</w:t>
      </w:r>
      <w:r w:rsidR="002F03DE" w:rsidRPr="002F03DE">
        <w:rPr>
          <w:rFonts w:hint="eastAsia"/>
          <w:sz w:val="24"/>
        </w:rPr>
        <w:t>中求变速运动的位移时用过这一思想）</w:t>
      </w:r>
    </w:p>
    <w:p w:rsidR="00AD7117" w:rsidRDefault="009D1B1C" w:rsidP="002F03DE">
      <w:pPr>
        <w:ind w:firstLineChars="200" w:firstLine="480"/>
        <w:rPr>
          <w:sz w:val="24"/>
        </w:rPr>
      </w:pPr>
      <w:r>
        <w:rPr>
          <w:rFonts w:hint="eastAsia"/>
          <w:sz w:val="24"/>
        </w:rPr>
        <w:t>2</w:t>
      </w:r>
      <w:r w:rsidR="00FC5D1E">
        <w:rPr>
          <w:rFonts w:hint="eastAsia"/>
          <w:sz w:val="24"/>
        </w:rPr>
        <w:t>．</w:t>
      </w:r>
      <w:r w:rsidR="002F03DE" w:rsidRPr="002F03DE">
        <w:rPr>
          <w:rFonts w:hint="eastAsia"/>
          <w:sz w:val="24"/>
        </w:rPr>
        <w:t>通过重力势能表达式的发现过程体会功是能量转化量度的思想，体会物理学建立概念，研究问题的方法。</w:t>
      </w:r>
    </w:p>
    <w:p w:rsidR="00CF4FDB" w:rsidRDefault="00CF4FDB" w:rsidP="00AD7117">
      <w:pPr>
        <w:rPr>
          <w:sz w:val="24"/>
        </w:rPr>
      </w:pPr>
      <w:r>
        <w:rPr>
          <w:rFonts w:hint="eastAsia"/>
          <w:sz w:val="24"/>
        </w:rPr>
        <w:t xml:space="preserve">  </w:t>
      </w:r>
      <w:r w:rsidR="00FC5D1E">
        <w:rPr>
          <w:sz w:val="24"/>
        </w:rPr>
        <w:t xml:space="preserve">  </w:t>
      </w:r>
      <w:r>
        <w:rPr>
          <w:rFonts w:hint="eastAsia"/>
          <w:sz w:val="24"/>
        </w:rPr>
        <w:t>3</w:t>
      </w:r>
      <w:r w:rsidR="00FC5D1E">
        <w:rPr>
          <w:rFonts w:hint="eastAsia"/>
          <w:sz w:val="24"/>
        </w:rPr>
        <w:t>．</w:t>
      </w:r>
      <w:r w:rsidR="00302187">
        <w:rPr>
          <w:rFonts w:hint="eastAsia"/>
          <w:sz w:val="24"/>
        </w:rPr>
        <w:t>本节是</w:t>
      </w:r>
      <w:r w:rsidR="00302187" w:rsidRPr="00302187">
        <w:rPr>
          <w:rFonts w:hint="eastAsia"/>
          <w:sz w:val="24"/>
        </w:rPr>
        <w:t>功与能的关系问题，在“重力势能”中进行了第一次的汇合，</w:t>
      </w:r>
      <w:r w:rsidR="00302187" w:rsidRPr="00302187">
        <w:rPr>
          <w:rFonts w:hint="eastAsia"/>
          <w:sz w:val="24"/>
        </w:rPr>
        <w:t xml:space="preserve"> </w:t>
      </w:r>
      <w:r w:rsidR="00302187" w:rsidRPr="00302187">
        <w:rPr>
          <w:rFonts w:hint="eastAsia"/>
          <w:sz w:val="24"/>
        </w:rPr>
        <w:t>运用“功是能量变化的量度”的思想，引出了重力势能，揭示了重力的功与重力势能变化量间的关系。以后，我们还要运用这一思想来统领弹性势能、动能和动能定理及机械能的知识，构建好知识系统</w:t>
      </w:r>
      <w:r>
        <w:rPr>
          <w:rFonts w:hint="eastAsia"/>
          <w:sz w:val="24"/>
        </w:rPr>
        <w:t>。</w:t>
      </w:r>
    </w:p>
    <w:p w:rsidR="00FC5D1E" w:rsidRDefault="00FC5D1E" w:rsidP="00932BA2">
      <w:pPr>
        <w:rPr>
          <w:sz w:val="24"/>
        </w:rPr>
      </w:pPr>
    </w:p>
    <w:p w:rsidR="00932BA2" w:rsidRDefault="00FC5D1E" w:rsidP="00932BA2">
      <w:pPr>
        <w:rPr>
          <w:sz w:val="24"/>
        </w:rPr>
      </w:pPr>
      <w:r>
        <w:rPr>
          <w:rFonts w:hint="eastAsia"/>
          <w:sz w:val="24"/>
        </w:rPr>
        <w:t>三、</w:t>
      </w:r>
      <w:r w:rsidR="00932BA2">
        <w:rPr>
          <w:rFonts w:hint="eastAsia"/>
          <w:sz w:val="24"/>
        </w:rPr>
        <w:t>学习任务</w:t>
      </w:r>
    </w:p>
    <w:p w:rsidR="00A54DF0" w:rsidRPr="00FC5D1E" w:rsidRDefault="00FC5D1E" w:rsidP="00FC5D1E">
      <w:pPr>
        <w:ind w:firstLineChars="200" w:firstLine="480"/>
        <w:rPr>
          <w:sz w:val="24"/>
        </w:rPr>
      </w:pPr>
      <w:r w:rsidRPr="00FC5D1E">
        <w:rPr>
          <w:rFonts w:hint="eastAsia"/>
          <w:sz w:val="24"/>
        </w:rPr>
        <w:t>1</w:t>
      </w:r>
      <w:r w:rsidRPr="00FC5D1E">
        <w:rPr>
          <w:rFonts w:hint="eastAsia"/>
          <w:sz w:val="24"/>
        </w:rPr>
        <w:t>．</w:t>
      </w:r>
      <w:r w:rsidR="0007627A">
        <w:rPr>
          <w:rFonts w:hint="eastAsia"/>
          <w:sz w:val="24"/>
        </w:rPr>
        <w:t>探究重力势能的表达式可能与哪几个物理量有关？</w:t>
      </w:r>
    </w:p>
    <w:p w:rsidR="00A54DF0" w:rsidRPr="00FC5D1E" w:rsidRDefault="00FC5D1E" w:rsidP="00FC5D1E">
      <w:pPr>
        <w:ind w:firstLineChars="200" w:firstLine="480"/>
        <w:rPr>
          <w:sz w:val="24"/>
        </w:rPr>
      </w:pPr>
      <w:r>
        <w:rPr>
          <w:rFonts w:hint="eastAsia"/>
          <w:sz w:val="24"/>
        </w:rPr>
        <w:t>2</w:t>
      </w:r>
      <w:r>
        <w:rPr>
          <w:rFonts w:hint="eastAsia"/>
          <w:sz w:val="24"/>
        </w:rPr>
        <w:t>．</w:t>
      </w:r>
      <w:r w:rsidR="00904816">
        <w:rPr>
          <w:rFonts w:hint="eastAsia"/>
          <w:sz w:val="24"/>
        </w:rPr>
        <w:t>学会推导重力做功与重力势能变化的关系。</w:t>
      </w:r>
    </w:p>
    <w:p w:rsidR="00D31ECC" w:rsidRDefault="00D31ECC" w:rsidP="00904816">
      <w:pPr>
        <w:ind w:firstLineChars="200" w:firstLine="480"/>
        <w:rPr>
          <w:sz w:val="24"/>
        </w:rPr>
      </w:pPr>
      <w:r>
        <w:rPr>
          <w:rFonts w:hint="eastAsia"/>
          <w:sz w:val="24"/>
        </w:rPr>
        <w:t>3</w:t>
      </w:r>
      <w:r w:rsidR="00FC5D1E">
        <w:rPr>
          <w:rFonts w:hint="eastAsia"/>
          <w:sz w:val="24"/>
        </w:rPr>
        <w:t>．</w:t>
      </w:r>
      <w:r w:rsidR="0007627A" w:rsidRPr="00FC5D1E">
        <w:rPr>
          <w:rFonts w:hint="eastAsia"/>
          <w:sz w:val="24"/>
        </w:rPr>
        <w:t>百度查阅</w:t>
      </w:r>
      <w:r w:rsidR="0007627A">
        <w:rPr>
          <w:rFonts w:hint="eastAsia"/>
          <w:sz w:val="24"/>
        </w:rPr>
        <w:t>“势”的含义和“物理学中还有哪些势能”呢？了解这些势能</w:t>
      </w:r>
      <w:r w:rsidR="0007627A" w:rsidRPr="00FC5D1E">
        <w:rPr>
          <w:rFonts w:hint="eastAsia"/>
          <w:sz w:val="24"/>
        </w:rPr>
        <w:t>有</w:t>
      </w:r>
      <w:r w:rsidR="0007627A">
        <w:rPr>
          <w:rFonts w:hint="eastAsia"/>
          <w:sz w:val="24"/>
        </w:rPr>
        <w:t>什么内在关联</w:t>
      </w:r>
      <w:r w:rsidR="0007627A" w:rsidRPr="00FC5D1E">
        <w:rPr>
          <w:rFonts w:hint="eastAsia"/>
          <w:sz w:val="24"/>
        </w:rPr>
        <w:t>。你</w:t>
      </w:r>
      <w:r w:rsidR="0007627A">
        <w:rPr>
          <w:rFonts w:hint="eastAsia"/>
          <w:sz w:val="24"/>
        </w:rPr>
        <w:t>能</w:t>
      </w:r>
      <w:r w:rsidR="0007627A" w:rsidRPr="00FC5D1E">
        <w:rPr>
          <w:rFonts w:hint="eastAsia"/>
          <w:sz w:val="24"/>
        </w:rPr>
        <w:t>从</w:t>
      </w:r>
      <w:r w:rsidR="0007627A">
        <w:rPr>
          <w:rFonts w:hint="eastAsia"/>
          <w:sz w:val="24"/>
        </w:rPr>
        <w:t>中体会大自然中各种势能中存在的内在一致性吗</w:t>
      </w:r>
      <w:r w:rsidR="0007627A" w:rsidRPr="00FC5D1E">
        <w:rPr>
          <w:rFonts w:hint="eastAsia"/>
          <w:sz w:val="24"/>
        </w:rPr>
        <w:t>？</w:t>
      </w:r>
    </w:p>
    <w:p w:rsidR="00D97EBB" w:rsidRDefault="00D97EBB" w:rsidP="00FC5D1E">
      <w:pPr>
        <w:ind w:firstLineChars="200" w:firstLine="480"/>
        <w:rPr>
          <w:rFonts w:hint="eastAsia"/>
          <w:sz w:val="24"/>
        </w:rPr>
      </w:pPr>
      <w:r w:rsidRPr="00D97EBB">
        <w:rPr>
          <w:sz w:val="24"/>
        </w:rPr>
        <w:drawing>
          <wp:inline distT="0" distB="0" distL="0" distR="0">
            <wp:extent cx="4263460" cy="2760029"/>
            <wp:effectExtent l="0" t="0" r="3740" b="0"/>
            <wp:docPr id="2" name="对象 1"/>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8569325" cy="5581650"/>
                      <a:chOff x="323850" y="333375"/>
                      <a:chExt cx="8569325" cy="5581650"/>
                    </a:xfrm>
                  </a:grpSpPr>
                  <a:sp>
                    <a:nvSpPr>
                      <a:cNvPr id="17410" name="Rectangle 2"/>
                      <a:cNvSpPr>
                        <a:spLocks noChangeArrowheads="1"/>
                      </a:cNvSpPr>
                    </a:nvSpPr>
                    <a:spPr bwMode="auto">
                      <a:xfrm>
                        <a:off x="395288" y="333375"/>
                        <a:ext cx="6732587" cy="530225"/>
                      </a:xfrm>
                      <a:prstGeom prst="rect">
                        <a:avLst/>
                      </a:prstGeom>
                      <a:noFill/>
                      <a:ln w="9525">
                        <a:noFill/>
                        <a:miter lim="800000"/>
                        <a:headEnd/>
                        <a:tailEnd/>
                      </a:ln>
                    </a:spPr>
                    <a:txSp>
                      <a:txBody>
                        <a:bodyPr>
                          <a:spAutoFit/>
                        </a:bodyPr>
                        <a:lstStyle>
                          <a:defPPr>
                            <a:defRPr lang="zh-CN"/>
                          </a:defPPr>
                          <a:lvl1pPr algn="l" rtl="0" fontAlgn="base">
                            <a:spcBef>
                              <a:spcPct val="0"/>
                            </a:spcBef>
                            <a:spcAft>
                              <a:spcPct val="0"/>
                            </a:spcAft>
                            <a:defRPr kern="1200">
                              <a:solidFill>
                                <a:schemeClr val="tx1"/>
                              </a:solidFill>
                              <a:latin typeface="Arial" pitchFamily="34" charset="0"/>
                              <a:ea typeface="宋体" pitchFamily="2" charset="-122"/>
                              <a:cs typeface="+mn-cs"/>
                            </a:defRPr>
                          </a:lvl1pPr>
                          <a:lvl2pPr marL="457200" algn="l" rtl="0" fontAlgn="base">
                            <a:spcBef>
                              <a:spcPct val="0"/>
                            </a:spcBef>
                            <a:spcAft>
                              <a:spcPct val="0"/>
                            </a:spcAft>
                            <a:defRPr kern="1200">
                              <a:solidFill>
                                <a:schemeClr val="tx1"/>
                              </a:solidFill>
                              <a:latin typeface="Arial" pitchFamily="34" charset="0"/>
                              <a:ea typeface="宋体" pitchFamily="2" charset="-122"/>
                              <a:cs typeface="+mn-cs"/>
                            </a:defRPr>
                          </a:lvl2pPr>
                          <a:lvl3pPr marL="914400" algn="l" rtl="0" fontAlgn="base">
                            <a:spcBef>
                              <a:spcPct val="0"/>
                            </a:spcBef>
                            <a:spcAft>
                              <a:spcPct val="0"/>
                            </a:spcAft>
                            <a:defRPr kern="1200">
                              <a:solidFill>
                                <a:schemeClr val="tx1"/>
                              </a:solidFill>
                              <a:latin typeface="Arial" pitchFamily="34" charset="0"/>
                              <a:ea typeface="宋体" pitchFamily="2" charset="-122"/>
                              <a:cs typeface="+mn-cs"/>
                            </a:defRPr>
                          </a:lvl3pPr>
                          <a:lvl4pPr marL="1371600" algn="l" rtl="0" fontAlgn="base">
                            <a:spcBef>
                              <a:spcPct val="0"/>
                            </a:spcBef>
                            <a:spcAft>
                              <a:spcPct val="0"/>
                            </a:spcAft>
                            <a:defRPr kern="1200">
                              <a:solidFill>
                                <a:schemeClr val="tx1"/>
                              </a:solidFill>
                              <a:latin typeface="Arial" pitchFamily="34" charset="0"/>
                              <a:ea typeface="宋体" pitchFamily="2" charset="-122"/>
                              <a:cs typeface="+mn-cs"/>
                            </a:defRPr>
                          </a:lvl4pPr>
                          <a:lvl5pPr marL="1828800" algn="l" rtl="0" fontAlgn="base">
                            <a:spcBef>
                              <a:spcPct val="0"/>
                            </a:spcBef>
                            <a:spcAft>
                              <a:spcPct val="0"/>
                            </a:spcAft>
                            <a:defRPr kern="1200">
                              <a:solidFill>
                                <a:schemeClr val="tx1"/>
                              </a:solidFill>
                              <a:latin typeface="Arial" pitchFamily="34" charset="0"/>
                              <a:ea typeface="宋体" pitchFamily="2" charset="-122"/>
                              <a:cs typeface="+mn-cs"/>
                            </a:defRPr>
                          </a:lvl5pPr>
                          <a:lvl6pPr marL="2286000" algn="l" defTabSz="914400" rtl="0" eaLnBrk="1" latinLnBrk="0" hangingPunct="1">
                            <a:defRPr kern="1200">
                              <a:solidFill>
                                <a:schemeClr val="tx1"/>
                              </a:solidFill>
                              <a:latin typeface="Arial" pitchFamily="34" charset="0"/>
                              <a:ea typeface="宋体" pitchFamily="2" charset="-122"/>
                              <a:cs typeface="+mn-cs"/>
                            </a:defRPr>
                          </a:lvl6pPr>
                          <a:lvl7pPr marL="2743200" algn="l" defTabSz="914400" rtl="0" eaLnBrk="1" latinLnBrk="0" hangingPunct="1">
                            <a:defRPr kern="1200">
                              <a:solidFill>
                                <a:schemeClr val="tx1"/>
                              </a:solidFill>
                              <a:latin typeface="Arial" pitchFamily="34" charset="0"/>
                              <a:ea typeface="宋体" pitchFamily="2" charset="-122"/>
                              <a:cs typeface="+mn-cs"/>
                            </a:defRPr>
                          </a:lvl7pPr>
                          <a:lvl8pPr marL="3200400" algn="l" defTabSz="914400" rtl="0" eaLnBrk="1" latinLnBrk="0" hangingPunct="1">
                            <a:defRPr kern="1200">
                              <a:solidFill>
                                <a:schemeClr val="tx1"/>
                              </a:solidFill>
                              <a:latin typeface="Arial" pitchFamily="34" charset="0"/>
                              <a:ea typeface="宋体" pitchFamily="2" charset="-122"/>
                              <a:cs typeface="+mn-cs"/>
                            </a:defRPr>
                          </a:lvl8pPr>
                          <a:lvl9pPr marL="3657600" algn="l" defTabSz="914400" rtl="0" eaLnBrk="1" latinLnBrk="0" hangingPunct="1">
                            <a:defRPr kern="1200">
                              <a:solidFill>
                                <a:schemeClr val="tx1"/>
                              </a:solidFill>
                              <a:latin typeface="Arial" pitchFamily="34" charset="0"/>
                              <a:ea typeface="宋体" pitchFamily="2" charset="-122"/>
                              <a:cs typeface="+mn-cs"/>
                            </a:defRPr>
                          </a:lvl9pPr>
                        </a:lstStyle>
                        <a:p>
                          <a:pPr>
                            <a:lnSpc>
                              <a:spcPct val="90000"/>
                            </a:lnSpc>
                            <a:spcBef>
                              <a:spcPct val="50000"/>
                            </a:spcBef>
                            <a:defRPr/>
                          </a:pPr>
                          <a:r>
                            <a:rPr kumimoji="1" lang="zh-CN" altLang="en-US" sz="3200" i="1" dirty="0">
                              <a:solidFill>
                                <a:srgbClr val="FF0000"/>
                              </a:solidFill>
                              <a:effectLst>
                                <a:outerShdw blurRad="38100" dist="38100" dir="2700000" algn="tl">
                                  <a:srgbClr val="C0C0C0"/>
                                </a:outerShdw>
                              </a:effectLst>
                              <a:latin typeface="华文中宋" pitchFamily="2" charset="-122"/>
                              <a:ea typeface="华文中宋" pitchFamily="2" charset="-122"/>
                            </a:rPr>
                            <a:t>探究过程：</a:t>
                          </a:r>
                        </a:p>
                      </a:txBody>
                      <a:useSpRect/>
                    </a:txSp>
                  </a:sp>
                  <a:sp>
                    <a:nvSpPr>
                      <a:cNvPr id="17411" name="Text Box 3"/>
                      <a:cNvSpPr txBox="1">
                        <a:spLocks noChangeArrowheads="1"/>
                      </a:cNvSpPr>
                    </a:nvSpPr>
                    <a:spPr bwMode="auto">
                      <a:xfrm>
                        <a:off x="395288" y="3644900"/>
                        <a:ext cx="1692275" cy="1309688"/>
                      </a:xfrm>
                      <a:prstGeom prst="rect">
                        <a:avLst/>
                      </a:prstGeom>
                      <a:solidFill>
                        <a:srgbClr val="99FFCC"/>
                      </a:solidFill>
                      <a:ln w="38100" algn="ctr">
                        <a:solidFill>
                          <a:srgbClr val="FF0000"/>
                        </a:solidFill>
                        <a:miter lim="800000"/>
                        <a:headEnd/>
                        <a:tailEnd/>
                      </a:ln>
                    </a:spPr>
                    <a:txSp>
                      <a:txBody>
                        <a:bodyPr tIns="190800" bIns="226800">
                          <a:spAutoFit/>
                        </a:bodyPr>
                        <a:lstStyle>
                          <a:defPPr>
                            <a:defRPr lang="zh-CN"/>
                          </a:defPPr>
                          <a:lvl1pPr algn="l" rtl="0" fontAlgn="base">
                            <a:spcBef>
                              <a:spcPct val="0"/>
                            </a:spcBef>
                            <a:spcAft>
                              <a:spcPct val="0"/>
                            </a:spcAft>
                            <a:defRPr kern="1200">
                              <a:solidFill>
                                <a:schemeClr val="tx1"/>
                              </a:solidFill>
                              <a:latin typeface="Arial" pitchFamily="34" charset="0"/>
                              <a:ea typeface="宋体" pitchFamily="2" charset="-122"/>
                              <a:cs typeface="+mn-cs"/>
                            </a:defRPr>
                          </a:lvl1pPr>
                          <a:lvl2pPr marL="457200" algn="l" rtl="0" fontAlgn="base">
                            <a:spcBef>
                              <a:spcPct val="0"/>
                            </a:spcBef>
                            <a:spcAft>
                              <a:spcPct val="0"/>
                            </a:spcAft>
                            <a:defRPr kern="1200">
                              <a:solidFill>
                                <a:schemeClr val="tx1"/>
                              </a:solidFill>
                              <a:latin typeface="Arial" pitchFamily="34" charset="0"/>
                              <a:ea typeface="宋体" pitchFamily="2" charset="-122"/>
                              <a:cs typeface="+mn-cs"/>
                            </a:defRPr>
                          </a:lvl2pPr>
                          <a:lvl3pPr marL="914400" algn="l" rtl="0" fontAlgn="base">
                            <a:spcBef>
                              <a:spcPct val="0"/>
                            </a:spcBef>
                            <a:spcAft>
                              <a:spcPct val="0"/>
                            </a:spcAft>
                            <a:defRPr kern="1200">
                              <a:solidFill>
                                <a:schemeClr val="tx1"/>
                              </a:solidFill>
                              <a:latin typeface="Arial" pitchFamily="34" charset="0"/>
                              <a:ea typeface="宋体" pitchFamily="2" charset="-122"/>
                              <a:cs typeface="+mn-cs"/>
                            </a:defRPr>
                          </a:lvl3pPr>
                          <a:lvl4pPr marL="1371600" algn="l" rtl="0" fontAlgn="base">
                            <a:spcBef>
                              <a:spcPct val="0"/>
                            </a:spcBef>
                            <a:spcAft>
                              <a:spcPct val="0"/>
                            </a:spcAft>
                            <a:defRPr kern="1200">
                              <a:solidFill>
                                <a:schemeClr val="tx1"/>
                              </a:solidFill>
                              <a:latin typeface="Arial" pitchFamily="34" charset="0"/>
                              <a:ea typeface="宋体" pitchFamily="2" charset="-122"/>
                              <a:cs typeface="+mn-cs"/>
                            </a:defRPr>
                          </a:lvl4pPr>
                          <a:lvl5pPr marL="1828800" algn="l" rtl="0" fontAlgn="base">
                            <a:spcBef>
                              <a:spcPct val="0"/>
                            </a:spcBef>
                            <a:spcAft>
                              <a:spcPct val="0"/>
                            </a:spcAft>
                            <a:defRPr kern="1200">
                              <a:solidFill>
                                <a:schemeClr val="tx1"/>
                              </a:solidFill>
                              <a:latin typeface="Arial" pitchFamily="34" charset="0"/>
                              <a:ea typeface="宋体" pitchFamily="2" charset="-122"/>
                              <a:cs typeface="+mn-cs"/>
                            </a:defRPr>
                          </a:lvl5pPr>
                          <a:lvl6pPr marL="2286000" algn="l" defTabSz="914400" rtl="0" eaLnBrk="1" latinLnBrk="0" hangingPunct="1">
                            <a:defRPr kern="1200">
                              <a:solidFill>
                                <a:schemeClr val="tx1"/>
                              </a:solidFill>
                              <a:latin typeface="Arial" pitchFamily="34" charset="0"/>
                              <a:ea typeface="宋体" pitchFamily="2" charset="-122"/>
                              <a:cs typeface="+mn-cs"/>
                            </a:defRPr>
                          </a:lvl6pPr>
                          <a:lvl7pPr marL="2743200" algn="l" defTabSz="914400" rtl="0" eaLnBrk="1" latinLnBrk="0" hangingPunct="1">
                            <a:defRPr kern="1200">
                              <a:solidFill>
                                <a:schemeClr val="tx1"/>
                              </a:solidFill>
                              <a:latin typeface="Arial" pitchFamily="34" charset="0"/>
                              <a:ea typeface="宋体" pitchFamily="2" charset="-122"/>
                              <a:cs typeface="+mn-cs"/>
                            </a:defRPr>
                          </a:lvl7pPr>
                          <a:lvl8pPr marL="3200400" algn="l" defTabSz="914400" rtl="0" eaLnBrk="1" latinLnBrk="0" hangingPunct="1">
                            <a:defRPr kern="1200">
                              <a:solidFill>
                                <a:schemeClr val="tx1"/>
                              </a:solidFill>
                              <a:latin typeface="Arial" pitchFamily="34" charset="0"/>
                              <a:ea typeface="宋体" pitchFamily="2" charset="-122"/>
                              <a:cs typeface="+mn-cs"/>
                            </a:defRPr>
                          </a:lvl8pPr>
                          <a:lvl9pPr marL="3657600" algn="l" defTabSz="914400" rtl="0" eaLnBrk="1" latinLnBrk="0" hangingPunct="1">
                            <a:defRPr kern="1200">
                              <a:solidFill>
                                <a:schemeClr val="tx1"/>
                              </a:solidFill>
                              <a:latin typeface="Arial" pitchFamily="34" charset="0"/>
                              <a:ea typeface="宋体" pitchFamily="2" charset="-122"/>
                              <a:cs typeface="+mn-cs"/>
                            </a:defRPr>
                          </a:lvl9pPr>
                        </a:lstStyle>
                        <a:p>
                          <a:pPr algn="ctr">
                            <a:spcBef>
                              <a:spcPct val="90000"/>
                            </a:spcBef>
                            <a:spcAft>
                              <a:spcPct val="80000"/>
                            </a:spcAft>
                          </a:pPr>
                          <a:r>
                            <a:rPr lang="zh-CN" altLang="en-US" sz="2800" b="1">
                              <a:latin typeface="Times New Roman" pitchFamily="18" charset="0"/>
                              <a:ea typeface="楷体_GB2312" pitchFamily="49" charset="-122"/>
                            </a:rPr>
                            <a:t>重力做功的特点</a:t>
                          </a:r>
                        </a:p>
                      </a:txBody>
                      <a:useSpRect/>
                    </a:txSp>
                  </a:sp>
                  <a:grpSp>
                    <a:nvGrpSpPr>
                      <a:cNvPr id="2" name="Group 4"/>
                      <a:cNvGrpSpPr>
                        <a:grpSpLocks/>
                      </a:cNvGrpSpPr>
                    </a:nvGrpSpPr>
                    <a:grpSpPr bwMode="auto">
                      <a:xfrm>
                        <a:off x="2051050" y="3068638"/>
                        <a:ext cx="2160588" cy="1041400"/>
                        <a:chOff x="1292" y="1933"/>
                        <a:chExt cx="1361" cy="656"/>
                      </a:xfrm>
                    </a:grpSpPr>
                    <a:sp>
                      <a:nvSpPr>
                        <a:cNvPr id="18461" name="Text Box 5"/>
                        <a:cNvSpPr txBox="1">
                          <a:spLocks noChangeArrowheads="1"/>
                        </a:cNvSpPr>
                      </a:nvSpPr>
                      <a:spPr bwMode="auto">
                        <a:xfrm>
                          <a:off x="1519" y="1933"/>
                          <a:ext cx="1134" cy="656"/>
                        </a:xfrm>
                        <a:prstGeom prst="rect">
                          <a:avLst/>
                        </a:prstGeom>
                        <a:solidFill>
                          <a:srgbClr val="FFFFCC"/>
                        </a:solidFill>
                        <a:ln w="38100">
                          <a:solidFill>
                            <a:srgbClr val="FF0000"/>
                          </a:solidFill>
                          <a:miter lim="800000"/>
                          <a:headEnd/>
                          <a:tailEnd/>
                        </a:ln>
                      </a:spPr>
                      <a:txSp>
                        <a:txBody>
                          <a:bodyPr tIns="82800" bIns="190800">
                            <a:spAutoFit/>
                          </a:bodyPr>
                          <a:lstStyle>
                            <a:defPPr>
                              <a:defRPr lang="zh-CN"/>
                            </a:defPPr>
                            <a:lvl1pPr algn="l" rtl="0" fontAlgn="base">
                              <a:spcBef>
                                <a:spcPct val="0"/>
                              </a:spcBef>
                              <a:spcAft>
                                <a:spcPct val="0"/>
                              </a:spcAft>
                              <a:defRPr kern="1200">
                                <a:solidFill>
                                  <a:schemeClr val="tx1"/>
                                </a:solidFill>
                                <a:latin typeface="Arial" pitchFamily="34" charset="0"/>
                                <a:ea typeface="宋体" pitchFamily="2" charset="-122"/>
                                <a:cs typeface="+mn-cs"/>
                              </a:defRPr>
                            </a:lvl1pPr>
                            <a:lvl2pPr marL="457200" algn="l" rtl="0" fontAlgn="base">
                              <a:spcBef>
                                <a:spcPct val="0"/>
                              </a:spcBef>
                              <a:spcAft>
                                <a:spcPct val="0"/>
                              </a:spcAft>
                              <a:defRPr kern="1200">
                                <a:solidFill>
                                  <a:schemeClr val="tx1"/>
                                </a:solidFill>
                                <a:latin typeface="Arial" pitchFamily="34" charset="0"/>
                                <a:ea typeface="宋体" pitchFamily="2" charset="-122"/>
                                <a:cs typeface="+mn-cs"/>
                              </a:defRPr>
                            </a:lvl2pPr>
                            <a:lvl3pPr marL="914400" algn="l" rtl="0" fontAlgn="base">
                              <a:spcBef>
                                <a:spcPct val="0"/>
                              </a:spcBef>
                              <a:spcAft>
                                <a:spcPct val="0"/>
                              </a:spcAft>
                              <a:defRPr kern="1200">
                                <a:solidFill>
                                  <a:schemeClr val="tx1"/>
                                </a:solidFill>
                                <a:latin typeface="Arial" pitchFamily="34" charset="0"/>
                                <a:ea typeface="宋体" pitchFamily="2" charset="-122"/>
                                <a:cs typeface="+mn-cs"/>
                              </a:defRPr>
                            </a:lvl3pPr>
                            <a:lvl4pPr marL="1371600" algn="l" rtl="0" fontAlgn="base">
                              <a:spcBef>
                                <a:spcPct val="0"/>
                              </a:spcBef>
                              <a:spcAft>
                                <a:spcPct val="0"/>
                              </a:spcAft>
                              <a:defRPr kern="1200">
                                <a:solidFill>
                                  <a:schemeClr val="tx1"/>
                                </a:solidFill>
                                <a:latin typeface="Arial" pitchFamily="34" charset="0"/>
                                <a:ea typeface="宋体" pitchFamily="2" charset="-122"/>
                                <a:cs typeface="+mn-cs"/>
                              </a:defRPr>
                            </a:lvl4pPr>
                            <a:lvl5pPr marL="1828800" algn="l" rtl="0" fontAlgn="base">
                              <a:spcBef>
                                <a:spcPct val="0"/>
                              </a:spcBef>
                              <a:spcAft>
                                <a:spcPct val="0"/>
                              </a:spcAft>
                              <a:defRPr kern="1200">
                                <a:solidFill>
                                  <a:schemeClr val="tx1"/>
                                </a:solidFill>
                                <a:latin typeface="Arial" pitchFamily="34" charset="0"/>
                                <a:ea typeface="宋体" pitchFamily="2" charset="-122"/>
                                <a:cs typeface="+mn-cs"/>
                              </a:defRPr>
                            </a:lvl5pPr>
                            <a:lvl6pPr marL="2286000" algn="l" defTabSz="914400" rtl="0" eaLnBrk="1" latinLnBrk="0" hangingPunct="1">
                              <a:defRPr kern="1200">
                                <a:solidFill>
                                  <a:schemeClr val="tx1"/>
                                </a:solidFill>
                                <a:latin typeface="Arial" pitchFamily="34" charset="0"/>
                                <a:ea typeface="宋体" pitchFamily="2" charset="-122"/>
                                <a:cs typeface="+mn-cs"/>
                              </a:defRPr>
                            </a:lvl6pPr>
                            <a:lvl7pPr marL="2743200" algn="l" defTabSz="914400" rtl="0" eaLnBrk="1" latinLnBrk="0" hangingPunct="1">
                              <a:defRPr kern="1200">
                                <a:solidFill>
                                  <a:schemeClr val="tx1"/>
                                </a:solidFill>
                                <a:latin typeface="Arial" pitchFamily="34" charset="0"/>
                                <a:ea typeface="宋体" pitchFamily="2" charset="-122"/>
                                <a:cs typeface="+mn-cs"/>
                              </a:defRPr>
                            </a:lvl7pPr>
                            <a:lvl8pPr marL="3200400" algn="l" defTabSz="914400" rtl="0" eaLnBrk="1" latinLnBrk="0" hangingPunct="1">
                              <a:defRPr kern="1200">
                                <a:solidFill>
                                  <a:schemeClr val="tx1"/>
                                </a:solidFill>
                                <a:latin typeface="Arial" pitchFamily="34" charset="0"/>
                                <a:ea typeface="宋体" pitchFamily="2" charset="-122"/>
                                <a:cs typeface="+mn-cs"/>
                              </a:defRPr>
                            </a:lvl8pPr>
                            <a:lvl9pPr marL="3657600" algn="l" defTabSz="914400" rtl="0" eaLnBrk="1" latinLnBrk="0" hangingPunct="1">
                              <a:defRPr kern="1200">
                                <a:solidFill>
                                  <a:schemeClr val="tx1"/>
                                </a:solidFill>
                                <a:latin typeface="Arial" pitchFamily="34" charset="0"/>
                                <a:ea typeface="宋体" pitchFamily="2" charset="-122"/>
                                <a:cs typeface="+mn-cs"/>
                              </a:defRPr>
                            </a:lvl9pPr>
                          </a:lstStyle>
                          <a:p>
                            <a:pPr algn="ctr">
                              <a:lnSpc>
                                <a:spcPct val="120000"/>
                              </a:lnSpc>
                              <a:spcBef>
                                <a:spcPct val="90000"/>
                              </a:spcBef>
                              <a:spcAft>
                                <a:spcPct val="90000"/>
                              </a:spcAft>
                            </a:pPr>
                            <a:r>
                              <a:rPr lang="zh-CN" altLang="en-US" sz="2000" b="1">
                                <a:solidFill>
                                  <a:srgbClr val="FF0000"/>
                                </a:solidFill>
                                <a:latin typeface="Times New Roman" pitchFamily="18" charset="0"/>
                                <a:ea typeface="楷体_GB2312" pitchFamily="49" charset="-122"/>
                              </a:rPr>
                              <a:t>式中的</a:t>
                            </a:r>
                            <a:r>
                              <a:rPr lang="en-US" altLang="zh-CN" sz="2000" b="1">
                                <a:solidFill>
                                  <a:srgbClr val="FF0000"/>
                                </a:solidFill>
                                <a:latin typeface="Times New Roman" pitchFamily="18" charset="0"/>
                                <a:ea typeface="楷体_GB2312" pitchFamily="49" charset="-122"/>
                              </a:rPr>
                              <a:t>mgh</a:t>
                            </a:r>
                            <a:r>
                              <a:rPr lang="zh-CN" altLang="en-US" sz="2000" b="1">
                                <a:solidFill>
                                  <a:srgbClr val="FF0000"/>
                                </a:solidFill>
                                <a:latin typeface="Times New Roman" pitchFamily="18" charset="0"/>
                                <a:ea typeface="楷体_GB2312" pitchFamily="49" charset="-122"/>
                              </a:rPr>
                              <a:t>与高度</a:t>
                            </a:r>
                            <a:r>
                              <a:rPr lang="en-US" altLang="zh-CN" sz="2000" b="1">
                                <a:solidFill>
                                  <a:srgbClr val="FF0000"/>
                                </a:solidFill>
                                <a:latin typeface="Times New Roman" pitchFamily="18" charset="0"/>
                                <a:ea typeface="楷体_GB2312" pitchFamily="49" charset="-122"/>
                              </a:rPr>
                              <a:t>h</a:t>
                            </a:r>
                            <a:r>
                              <a:rPr lang="zh-CN" altLang="en-US" sz="2000" b="1">
                                <a:solidFill>
                                  <a:srgbClr val="FF0000"/>
                                </a:solidFill>
                                <a:latin typeface="Times New Roman" pitchFamily="18" charset="0"/>
                                <a:ea typeface="楷体_GB2312" pitchFamily="49" charset="-122"/>
                              </a:rPr>
                              <a:t>有关</a:t>
                            </a:r>
                          </a:p>
                        </a:txBody>
                        <a:useSpRect/>
                      </a:txSp>
                    </a:sp>
                    <a:sp>
                      <a:nvSpPr>
                        <a:cNvPr id="18462" name="Line 6"/>
                        <a:cNvSpPr>
                          <a:spLocks noChangeShapeType="1"/>
                        </a:cNvSpPr>
                      </a:nvSpPr>
                      <a:spPr bwMode="auto">
                        <a:xfrm>
                          <a:off x="1292" y="2387"/>
                          <a:ext cx="227" cy="0"/>
                        </a:xfrm>
                        <a:prstGeom prst="line">
                          <a:avLst/>
                        </a:prstGeom>
                        <a:noFill/>
                        <a:ln w="38100">
                          <a:solidFill>
                            <a:srgbClr val="FF0000"/>
                          </a:solidFill>
                          <a:round/>
                          <a:headEnd/>
                          <a:tailEnd type="stealth" w="lg" len="lg"/>
                        </a:ln>
                      </a:spPr>
                      <a:txSp>
                        <a:txBody>
                          <a:bodyPr/>
                          <a:lstStyle>
                            <a:defPPr>
                              <a:defRPr lang="zh-CN"/>
                            </a:defPPr>
                            <a:lvl1pPr algn="l" rtl="0" fontAlgn="base">
                              <a:spcBef>
                                <a:spcPct val="0"/>
                              </a:spcBef>
                              <a:spcAft>
                                <a:spcPct val="0"/>
                              </a:spcAft>
                              <a:defRPr kern="1200">
                                <a:solidFill>
                                  <a:schemeClr val="tx1"/>
                                </a:solidFill>
                                <a:latin typeface="Arial" pitchFamily="34" charset="0"/>
                                <a:ea typeface="宋体" pitchFamily="2" charset="-122"/>
                                <a:cs typeface="+mn-cs"/>
                              </a:defRPr>
                            </a:lvl1pPr>
                            <a:lvl2pPr marL="457200" algn="l" rtl="0" fontAlgn="base">
                              <a:spcBef>
                                <a:spcPct val="0"/>
                              </a:spcBef>
                              <a:spcAft>
                                <a:spcPct val="0"/>
                              </a:spcAft>
                              <a:defRPr kern="1200">
                                <a:solidFill>
                                  <a:schemeClr val="tx1"/>
                                </a:solidFill>
                                <a:latin typeface="Arial" pitchFamily="34" charset="0"/>
                                <a:ea typeface="宋体" pitchFamily="2" charset="-122"/>
                                <a:cs typeface="+mn-cs"/>
                              </a:defRPr>
                            </a:lvl2pPr>
                            <a:lvl3pPr marL="914400" algn="l" rtl="0" fontAlgn="base">
                              <a:spcBef>
                                <a:spcPct val="0"/>
                              </a:spcBef>
                              <a:spcAft>
                                <a:spcPct val="0"/>
                              </a:spcAft>
                              <a:defRPr kern="1200">
                                <a:solidFill>
                                  <a:schemeClr val="tx1"/>
                                </a:solidFill>
                                <a:latin typeface="Arial" pitchFamily="34" charset="0"/>
                                <a:ea typeface="宋体" pitchFamily="2" charset="-122"/>
                                <a:cs typeface="+mn-cs"/>
                              </a:defRPr>
                            </a:lvl3pPr>
                            <a:lvl4pPr marL="1371600" algn="l" rtl="0" fontAlgn="base">
                              <a:spcBef>
                                <a:spcPct val="0"/>
                              </a:spcBef>
                              <a:spcAft>
                                <a:spcPct val="0"/>
                              </a:spcAft>
                              <a:defRPr kern="1200">
                                <a:solidFill>
                                  <a:schemeClr val="tx1"/>
                                </a:solidFill>
                                <a:latin typeface="Arial" pitchFamily="34" charset="0"/>
                                <a:ea typeface="宋体" pitchFamily="2" charset="-122"/>
                                <a:cs typeface="+mn-cs"/>
                              </a:defRPr>
                            </a:lvl4pPr>
                            <a:lvl5pPr marL="1828800" algn="l" rtl="0" fontAlgn="base">
                              <a:spcBef>
                                <a:spcPct val="0"/>
                              </a:spcBef>
                              <a:spcAft>
                                <a:spcPct val="0"/>
                              </a:spcAft>
                              <a:defRPr kern="1200">
                                <a:solidFill>
                                  <a:schemeClr val="tx1"/>
                                </a:solidFill>
                                <a:latin typeface="Arial" pitchFamily="34" charset="0"/>
                                <a:ea typeface="宋体" pitchFamily="2" charset="-122"/>
                                <a:cs typeface="+mn-cs"/>
                              </a:defRPr>
                            </a:lvl5pPr>
                            <a:lvl6pPr marL="2286000" algn="l" defTabSz="914400" rtl="0" eaLnBrk="1" latinLnBrk="0" hangingPunct="1">
                              <a:defRPr kern="1200">
                                <a:solidFill>
                                  <a:schemeClr val="tx1"/>
                                </a:solidFill>
                                <a:latin typeface="Arial" pitchFamily="34" charset="0"/>
                                <a:ea typeface="宋体" pitchFamily="2" charset="-122"/>
                                <a:cs typeface="+mn-cs"/>
                              </a:defRPr>
                            </a:lvl6pPr>
                            <a:lvl7pPr marL="2743200" algn="l" defTabSz="914400" rtl="0" eaLnBrk="1" latinLnBrk="0" hangingPunct="1">
                              <a:defRPr kern="1200">
                                <a:solidFill>
                                  <a:schemeClr val="tx1"/>
                                </a:solidFill>
                                <a:latin typeface="Arial" pitchFamily="34" charset="0"/>
                                <a:ea typeface="宋体" pitchFamily="2" charset="-122"/>
                                <a:cs typeface="+mn-cs"/>
                              </a:defRPr>
                            </a:lvl7pPr>
                            <a:lvl8pPr marL="3200400" algn="l" defTabSz="914400" rtl="0" eaLnBrk="1" latinLnBrk="0" hangingPunct="1">
                              <a:defRPr kern="1200">
                                <a:solidFill>
                                  <a:schemeClr val="tx1"/>
                                </a:solidFill>
                                <a:latin typeface="Arial" pitchFamily="34" charset="0"/>
                                <a:ea typeface="宋体" pitchFamily="2" charset="-122"/>
                                <a:cs typeface="+mn-cs"/>
                              </a:defRPr>
                            </a:lvl8pPr>
                            <a:lvl9pPr marL="3657600" algn="l" defTabSz="914400" rtl="0" eaLnBrk="1" latinLnBrk="0" hangingPunct="1">
                              <a:defRPr kern="1200">
                                <a:solidFill>
                                  <a:schemeClr val="tx1"/>
                                </a:solidFill>
                                <a:latin typeface="Arial" pitchFamily="34" charset="0"/>
                                <a:ea typeface="宋体" pitchFamily="2" charset="-122"/>
                                <a:cs typeface="+mn-cs"/>
                              </a:defRPr>
                            </a:lvl9pPr>
                          </a:lstStyle>
                          <a:p>
                            <a:endParaRPr lang="zh-CN" altLang="en-US"/>
                          </a:p>
                        </a:txBody>
                        <a:useSpRect/>
                      </a:txSp>
                    </a:sp>
                  </a:grpSp>
                  <a:grpSp>
                    <a:nvGrpSpPr>
                      <a:cNvPr id="3" name="Group 7"/>
                      <a:cNvGrpSpPr>
                        <a:grpSpLocks/>
                      </a:cNvGrpSpPr>
                    </a:nvGrpSpPr>
                    <a:grpSpPr bwMode="auto">
                      <a:xfrm>
                        <a:off x="323850" y="1196975"/>
                        <a:ext cx="3346450" cy="1836738"/>
                        <a:chOff x="204" y="754"/>
                        <a:chExt cx="2108" cy="1157"/>
                      </a:xfrm>
                    </a:grpSpPr>
                    <a:sp>
                      <a:nvSpPr>
                        <a:cNvPr id="17416" name="AutoShape 8"/>
                        <a:cNvSpPr>
                          <a:spLocks noChangeArrowheads="1"/>
                        </a:cNvSpPr>
                      </a:nvSpPr>
                      <a:spPr bwMode="auto">
                        <a:xfrm>
                          <a:off x="204" y="754"/>
                          <a:ext cx="2041" cy="907"/>
                        </a:xfrm>
                        <a:prstGeom prst="wedgeEllipseCallout">
                          <a:avLst>
                            <a:gd name="adj1" fmla="val -31333"/>
                            <a:gd name="adj2" fmla="val 116264"/>
                          </a:avLst>
                        </a:prstGeom>
                        <a:gradFill rotWithShape="1">
                          <a:gsLst>
                            <a:gs pos="0">
                              <a:srgbClr val="FF9900"/>
                            </a:gs>
                            <a:gs pos="100000">
                              <a:srgbClr val="FFFF00"/>
                            </a:gs>
                          </a:gsLst>
                          <a:path path="rect">
                            <a:fillToRect r="100000" b="100000"/>
                          </a:path>
                        </a:gradFill>
                        <a:ln w="9525">
                          <a:solidFill>
                            <a:srgbClr val="3399FF"/>
                          </a:solidFill>
                          <a:miter lim="800000"/>
                          <a:headEnd/>
                          <a:tailEnd/>
                        </a:ln>
                        <a:effectLst/>
                      </a:spPr>
                      <a:txSp>
                        <a:txBody>
                          <a:bodyPr lIns="0" tIns="0" rIns="0" bIns="0" anchor="ctr" anchorCtr="1"/>
                          <a:lstStyle>
                            <a:defPPr>
                              <a:defRPr lang="zh-CN"/>
                            </a:defPPr>
                            <a:lvl1pPr algn="l" rtl="0" fontAlgn="base">
                              <a:spcBef>
                                <a:spcPct val="0"/>
                              </a:spcBef>
                              <a:spcAft>
                                <a:spcPct val="0"/>
                              </a:spcAft>
                              <a:defRPr kern="1200">
                                <a:solidFill>
                                  <a:schemeClr val="tx1"/>
                                </a:solidFill>
                                <a:latin typeface="Arial" pitchFamily="34" charset="0"/>
                                <a:ea typeface="宋体" pitchFamily="2" charset="-122"/>
                                <a:cs typeface="+mn-cs"/>
                              </a:defRPr>
                            </a:lvl1pPr>
                            <a:lvl2pPr marL="457200" algn="l" rtl="0" fontAlgn="base">
                              <a:spcBef>
                                <a:spcPct val="0"/>
                              </a:spcBef>
                              <a:spcAft>
                                <a:spcPct val="0"/>
                              </a:spcAft>
                              <a:defRPr kern="1200">
                                <a:solidFill>
                                  <a:schemeClr val="tx1"/>
                                </a:solidFill>
                                <a:latin typeface="Arial" pitchFamily="34" charset="0"/>
                                <a:ea typeface="宋体" pitchFamily="2" charset="-122"/>
                                <a:cs typeface="+mn-cs"/>
                              </a:defRPr>
                            </a:lvl2pPr>
                            <a:lvl3pPr marL="914400" algn="l" rtl="0" fontAlgn="base">
                              <a:spcBef>
                                <a:spcPct val="0"/>
                              </a:spcBef>
                              <a:spcAft>
                                <a:spcPct val="0"/>
                              </a:spcAft>
                              <a:defRPr kern="1200">
                                <a:solidFill>
                                  <a:schemeClr val="tx1"/>
                                </a:solidFill>
                                <a:latin typeface="Arial" pitchFamily="34" charset="0"/>
                                <a:ea typeface="宋体" pitchFamily="2" charset="-122"/>
                                <a:cs typeface="+mn-cs"/>
                              </a:defRPr>
                            </a:lvl3pPr>
                            <a:lvl4pPr marL="1371600" algn="l" rtl="0" fontAlgn="base">
                              <a:spcBef>
                                <a:spcPct val="0"/>
                              </a:spcBef>
                              <a:spcAft>
                                <a:spcPct val="0"/>
                              </a:spcAft>
                              <a:defRPr kern="1200">
                                <a:solidFill>
                                  <a:schemeClr val="tx1"/>
                                </a:solidFill>
                                <a:latin typeface="Arial" pitchFamily="34" charset="0"/>
                                <a:ea typeface="宋体" pitchFamily="2" charset="-122"/>
                                <a:cs typeface="+mn-cs"/>
                              </a:defRPr>
                            </a:lvl4pPr>
                            <a:lvl5pPr marL="1828800" algn="l" rtl="0" fontAlgn="base">
                              <a:spcBef>
                                <a:spcPct val="0"/>
                              </a:spcBef>
                              <a:spcAft>
                                <a:spcPct val="0"/>
                              </a:spcAft>
                              <a:defRPr kern="1200">
                                <a:solidFill>
                                  <a:schemeClr val="tx1"/>
                                </a:solidFill>
                                <a:latin typeface="Arial" pitchFamily="34" charset="0"/>
                                <a:ea typeface="宋体" pitchFamily="2" charset="-122"/>
                                <a:cs typeface="+mn-cs"/>
                              </a:defRPr>
                            </a:lvl5pPr>
                            <a:lvl6pPr marL="2286000" algn="l" defTabSz="914400" rtl="0" eaLnBrk="1" latinLnBrk="0" hangingPunct="1">
                              <a:defRPr kern="1200">
                                <a:solidFill>
                                  <a:schemeClr val="tx1"/>
                                </a:solidFill>
                                <a:latin typeface="Arial" pitchFamily="34" charset="0"/>
                                <a:ea typeface="宋体" pitchFamily="2" charset="-122"/>
                                <a:cs typeface="+mn-cs"/>
                              </a:defRPr>
                            </a:lvl6pPr>
                            <a:lvl7pPr marL="2743200" algn="l" defTabSz="914400" rtl="0" eaLnBrk="1" latinLnBrk="0" hangingPunct="1">
                              <a:defRPr kern="1200">
                                <a:solidFill>
                                  <a:schemeClr val="tx1"/>
                                </a:solidFill>
                                <a:latin typeface="Arial" pitchFamily="34" charset="0"/>
                                <a:ea typeface="宋体" pitchFamily="2" charset="-122"/>
                                <a:cs typeface="+mn-cs"/>
                              </a:defRPr>
                            </a:lvl7pPr>
                            <a:lvl8pPr marL="3200400" algn="l" defTabSz="914400" rtl="0" eaLnBrk="1" latinLnBrk="0" hangingPunct="1">
                              <a:defRPr kern="1200">
                                <a:solidFill>
                                  <a:schemeClr val="tx1"/>
                                </a:solidFill>
                                <a:latin typeface="Arial" pitchFamily="34" charset="0"/>
                                <a:ea typeface="宋体" pitchFamily="2" charset="-122"/>
                                <a:cs typeface="+mn-cs"/>
                              </a:defRPr>
                            </a:lvl8pPr>
                            <a:lvl9pPr marL="3657600" algn="l" defTabSz="914400" rtl="0" eaLnBrk="1" latinLnBrk="0" hangingPunct="1">
                              <a:defRPr kern="1200">
                                <a:solidFill>
                                  <a:schemeClr val="tx1"/>
                                </a:solidFill>
                                <a:latin typeface="Arial" pitchFamily="34" charset="0"/>
                                <a:ea typeface="宋体" pitchFamily="2" charset="-122"/>
                                <a:cs typeface="+mn-cs"/>
                              </a:defRPr>
                            </a:lvl9pPr>
                          </a:lstStyle>
                          <a:p>
                            <a:pPr algn="ctr">
                              <a:defRPr/>
                            </a:pPr>
                            <a:endParaRPr lang="zh-CN" altLang="zh-CN" sz="2000" b="1">
                              <a:solidFill>
                                <a:srgbClr val="009900"/>
                              </a:solidFill>
                              <a:effectLst>
                                <a:outerShdw blurRad="38100" dist="38100" dir="2700000" algn="tl">
                                  <a:srgbClr val="000000"/>
                                </a:outerShdw>
                              </a:effectLst>
                              <a:latin typeface="Times New Roman" pitchFamily="18" charset="0"/>
                              <a:ea typeface="楷体_GB2312" pitchFamily="49" charset="-122"/>
                            </a:endParaRPr>
                          </a:p>
                        </a:txBody>
                        <a:useSpRect/>
                      </a:txSp>
                    </a:sp>
                    <a:sp>
                      <a:nvSpPr>
                        <a:cNvPr id="18459" name="Text Box 9"/>
                        <a:cNvSpPr txBox="1">
                          <a:spLocks noChangeArrowheads="1"/>
                        </a:cNvSpPr>
                      </a:nvSpPr>
                      <a:spPr bwMode="auto">
                        <a:xfrm>
                          <a:off x="385" y="1661"/>
                          <a:ext cx="1927" cy="250"/>
                        </a:xfrm>
                        <a:prstGeom prst="rect">
                          <a:avLst/>
                        </a:prstGeom>
                        <a:noFill/>
                        <a:ln w="9525">
                          <a:noFill/>
                          <a:miter lim="800000"/>
                          <a:headEnd/>
                          <a:tailEnd/>
                        </a:ln>
                      </a:spPr>
                      <a:txSp>
                        <a:txBody>
                          <a:bodyPr>
                            <a:spAutoFit/>
                          </a:bodyPr>
                          <a:lstStyle>
                            <a:defPPr>
                              <a:defRPr lang="zh-CN"/>
                            </a:defPPr>
                            <a:lvl1pPr algn="l" rtl="0" fontAlgn="base">
                              <a:spcBef>
                                <a:spcPct val="0"/>
                              </a:spcBef>
                              <a:spcAft>
                                <a:spcPct val="0"/>
                              </a:spcAft>
                              <a:defRPr kern="1200">
                                <a:solidFill>
                                  <a:schemeClr val="tx1"/>
                                </a:solidFill>
                                <a:latin typeface="Arial" pitchFamily="34" charset="0"/>
                                <a:ea typeface="宋体" pitchFamily="2" charset="-122"/>
                                <a:cs typeface="+mn-cs"/>
                              </a:defRPr>
                            </a:lvl1pPr>
                            <a:lvl2pPr marL="457200" algn="l" rtl="0" fontAlgn="base">
                              <a:spcBef>
                                <a:spcPct val="0"/>
                              </a:spcBef>
                              <a:spcAft>
                                <a:spcPct val="0"/>
                              </a:spcAft>
                              <a:defRPr kern="1200">
                                <a:solidFill>
                                  <a:schemeClr val="tx1"/>
                                </a:solidFill>
                                <a:latin typeface="Arial" pitchFamily="34" charset="0"/>
                                <a:ea typeface="宋体" pitchFamily="2" charset="-122"/>
                                <a:cs typeface="+mn-cs"/>
                              </a:defRPr>
                            </a:lvl2pPr>
                            <a:lvl3pPr marL="914400" algn="l" rtl="0" fontAlgn="base">
                              <a:spcBef>
                                <a:spcPct val="0"/>
                              </a:spcBef>
                              <a:spcAft>
                                <a:spcPct val="0"/>
                              </a:spcAft>
                              <a:defRPr kern="1200">
                                <a:solidFill>
                                  <a:schemeClr val="tx1"/>
                                </a:solidFill>
                                <a:latin typeface="Arial" pitchFamily="34" charset="0"/>
                                <a:ea typeface="宋体" pitchFamily="2" charset="-122"/>
                                <a:cs typeface="+mn-cs"/>
                              </a:defRPr>
                            </a:lvl3pPr>
                            <a:lvl4pPr marL="1371600" algn="l" rtl="0" fontAlgn="base">
                              <a:spcBef>
                                <a:spcPct val="0"/>
                              </a:spcBef>
                              <a:spcAft>
                                <a:spcPct val="0"/>
                              </a:spcAft>
                              <a:defRPr kern="1200">
                                <a:solidFill>
                                  <a:schemeClr val="tx1"/>
                                </a:solidFill>
                                <a:latin typeface="Arial" pitchFamily="34" charset="0"/>
                                <a:ea typeface="宋体" pitchFamily="2" charset="-122"/>
                                <a:cs typeface="+mn-cs"/>
                              </a:defRPr>
                            </a:lvl4pPr>
                            <a:lvl5pPr marL="1828800" algn="l" rtl="0" fontAlgn="base">
                              <a:spcBef>
                                <a:spcPct val="0"/>
                              </a:spcBef>
                              <a:spcAft>
                                <a:spcPct val="0"/>
                              </a:spcAft>
                              <a:defRPr kern="1200">
                                <a:solidFill>
                                  <a:schemeClr val="tx1"/>
                                </a:solidFill>
                                <a:latin typeface="Arial" pitchFamily="34" charset="0"/>
                                <a:ea typeface="宋体" pitchFamily="2" charset="-122"/>
                                <a:cs typeface="+mn-cs"/>
                              </a:defRPr>
                            </a:lvl5pPr>
                            <a:lvl6pPr marL="2286000" algn="l" defTabSz="914400" rtl="0" eaLnBrk="1" latinLnBrk="0" hangingPunct="1">
                              <a:defRPr kern="1200">
                                <a:solidFill>
                                  <a:schemeClr val="tx1"/>
                                </a:solidFill>
                                <a:latin typeface="Arial" pitchFamily="34" charset="0"/>
                                <a:ea typeface="宋体" pitchFamily="2" charset="-122"/>
                                <a:cs typeface="+mn-cs"/>
                              </a:defRPr>
                            </a:lvl6pPr>
                            <a:lvl7pPr marL="2743200" algn="l" defTabSz="914400" rtl="0" eaLnBrk="1" latinLnBrk="0" hangingPunct="1">
                              <a:defRPr kern="1200">
                                <a:solidFill>
                                  <a:schemeClr val="tx1"/>
                                </a:solidFill>
                                <a:latin typeface="Arial" pitchFamily="34" charset="0"/>
                                <a:ea typeface="宋体" pitchFamily="2" charset="-122"/>
                                <a:cs typeface="+mn-cs"/>
                              </a:defRPr>
                            </a:lvl7pPr>
                            <a:lvl8pPr marL="3200400" algn="l" defTabSz="914400" rtl="0" eaLnBrk="1" latinLnBrk="0" hangingPunct="1">
                              <a:defRPr kern="1200">
                                <a:solidFill>
                                  <a:schemeClr val="tx1"/>
                                </a:solidFill>
                                <a:latin typeface="Arial" pitchFamily="34" charset="0"/>
                                <a:ea typeface="宋体" pitchFamily="2" charset="-122"/>
                                <a:cs typeface="+mn-cs"/>
                              </a:defRPr>
                            </a:lvl8pPr>
                            <a:lvl9pPr marL="3657600" algn="l" defTabSz="914400" rtl="0" eaLnBrk="1" latinLnBrk="0" hangingPunct="1">
                              <a:defRPr kern="1200">
                                <a:solidFill>
                                  <a:schemeClr val="tx1"/>
                                </a:solidFill>
                                <a:latin typeface="Arial" pitchFamily="34" charset="0"/>
                                <a:ea typeface="宋体" pitchFamily="2" charset="-122"/>
                                <a:cs typeface="+mn-cs"/>
                              </a:defRPr>
                            </a:lvl9pPr>
                          </a:lstStyle>
                          <a:p>
                            <a:pPr>
                              <a:lnSpc>
                                <a:spcPct val="95000"/>
                              </a:lnSpc>
                            </a:pPr>
                            <a:r>
                              <a:rPr lang="en-US" altLang="zh-CN" sz="2100" b="1" i="1">
                                <a:latin typeface="Times New Roman" pitchFamily="18" charset="0"/>
                              </a:rPr>
                              <a:t>W</a:t>
                            </a:r>
                            <a:r>
                              <a:rPr lang="en-US" altLang="zh-CN" sz="2100" b="1" i="1" baseline="-25000">
                                <a:latin typeface="Times New Roman" pitchFamily="18" charset="0"/>
                              </a:rPr>
                              <a:t>G12</a:t>
                            </a:r>
                            <a:r>
                              <a:rPr lang="zh-CN" altLang="en-US" sz="2100" b="1">
                                <a:latin typeface="Times New Roman" pitchFamily="18" charset="0"/>
                              </a:rPr>
                              <a:t>＝</a:t>
                            </a:r>
                            <a:r>
                              <a:rPr lang="en-US" altLang="zh-CN" sz="2100" b="1" i="1">
                                <a:latin typeface="Times New Roman" pitchFamily="18" charset="0"/>
                              </a:rPr>
                              <a:t>mgh</a:t>
                            </a:r>
                            <a:r>
                              <a:rPr lang="en-US" altLang="zh-CN" sz="2100" b="1" i="1" baseline="-25000">
                                <a:latin typeface="Times New Roman" pitchFamily="18" charset="0"/>
                              </a:rPr>
                              <a:t>1</a:t>
                            </a:r>
                            <a:r>
                              <a:rPr lang="zh-CN" altLang="en-US" sz="2100" b="1" i="1">
                                <a:latin typeface="Times New Roman" pitchFamily="18" charset="0"/>
                              </a:rPr>
                              <a:t>－</a:t>
                            </a:r>
                            <a:r>
                              <a:rPr lang="en-US" altLang="zh-CN" sz="2100" b="1" i="1">
                                <a:latin typeface="Times New Roman" pitchFamily="18" charset="0"/>
                              </a:rPr>
                              <a:t>mgh</a:t>
                            </a:r>
                            <a:r>
                              <a:rPr lang="en-US" altLang="zh-CN" sz="2100" b="1" i="1" baseline="-25000">
                                <a:latin typeface="Times New Roman" pitchFamily="18" charset="0"/>
                              </a:rPr>
                              <a:t>2</a:t>
                            </a:r>
                          </a:p>
                        </a:txBody>
                        <a:useSpRect/>
                      </a:txSp>
                    </a:sp>
                    <a:sp>
                      <a:nvSpPr>
                        <a:cNvPr id="18460" name="Rectangle 10"/>
                        <a:cNvSpPr>
                          <a:spLocks noChangeArrowheads="1"/>
                        </a:cNvSpPr>
                      </a:nvSpPr>
                      <a:spPr bwMode="auto">
                        <a:xfrm>
                          <a:off x="431" y="845"/>
                          <a:ext cx="1565" cy="682"/>
                        </a:xfrm>
                        <a:prstGeom prst="rect">
                          <a:avLst/>
                        </a:prstGeom>
                        <a:noFill/>
                        <a:ln w="9525" algn="ctr">
                          <a:noFill/>
                          <a:miter lim="800000"/>
                          <a:headEnd/>
                          <a:tailEnd/>
                        </a:ln>
                      </a:spPr>
                      <a:txSp>
                        <a:txBody>
                          <a:bodyPr>
                            <a:spAutoFit/>
                          </a:bodyPr>
                          <a:lstStyle>
                            <a:defPPr>
                              <a:defRPr lang="zh-CN"/>
                            </a:defPPr>
                            <a:lvl1pPr algn="l" rtl="0" fontAlgn="base">
                              <a:spcBef>
                                <a:spcPct val="0"/>
                              </a:spcBef>
                              <a:spcAft>
                                <a:spcPct val="0"/>
                              </a:spcAft>
                              <a:defRPr kern="1200">
                                <a:solidFill>
                                  <a:schemeClr val="tx1"/>
                                </a:solidFill>
                                <a:latin typeface="Arial" pitchFamily="34" charset="0"/>
                                <a:ea typeface="宋体" pitchFamily="2" charset="-122"/>
                                <a:cs typeface="+mn-cs"/>
                              </a:defRPr>
                            </a:lvl1pPr>
                            <a:lvl2pPr marL="457200" algn="l" rtl="0" fontAlgn="base">
                              <a:spcBef>
                                <a:spcPct val="0"/>
                              </a:spcBef>
                              <a:spcAft>
                                <a:spcPct val="0"/>
                              </a:spcAft>
                              <a:defRPr kern="1200">
                                <a:solidFill>
                                  <a:schemeClr val="tx1"/>
                                </a:solidFill>
                                <a:latin typeface="Arial" pitchFamily="34" charset="0"/>
                                <a:ea typeface="宋体" pitchFamily="2" charset="-122"/>
                                <a:cs typeface="+mn-cs"/>
                              </a:defRPr>
                            </a:lvl2pPr>
                            <a:lvl3pPr marL="914400" algn="l" rtl="0" fontAlgn="base">
                              <a:spcBef>
                                <a:spcPct val="0"/>
                              </a:spcBef>
                              <a:spcAft>
                                <a:spcPct val="0"/>
                              </a:spcAft>
                              <a:defRPr kern="1200">
                                <a:solidFill>
                                  <a:schemeClr val="tx1"/>
                                </a:solidFill>
                                <a:latin typeface="Arial" pitchFamily="34" charset="0"/>
                                <a:ea typeface="宋体" pitchFamily="2" charset="-122"/>
                                <a:cs typeface="+mn-cs"/>
                              </a:defRPr>
                            </a:lvl3pPr>
                            <a:lvl4pPr marL="1371600" algn="l" rtl="0" fontAlgn="base">
                              <a:spcBef>
                                <a:spcPct val="0"/>
                              </a:spcBef>
                              <a:spcAft>
                                <a:spcPct val="0"/>
                              </a:spcAft>
                              <a:defRPr kern="1200">
                                <a:solidFill>
                                  <a:schemeClr val="tx1"/>
                                </a:solidFill>
                                <a:latin typeface="Arial" pitchFamily="34" charset="0"/>
                                <a:ea typeface="宋体" pitchFamily="2" charset="-122"/>
                                <a:cs typeface="+mn-cs"/>
                              </a:defRPr>
                            </a:lvl4pPr>
                            <a:lvl5pPr marL="1828800" algn="l" rtl="0" fontAlgn="base">
                              <a:spcBef>
                                <a:spcPct val="0"/>
                              </a:spcBef>
                              <a:spcAft>
                                <a:spcPct val="0"/>
                              </a:spcAft>
                              <a:defRPr kern="1200">
                                <a:solidFill>
                                  <a:schemeClr val="tx1"/>
                                </a:solidFill>
                                <a:latin typeface="Arial" pitchFamily="34" charset="0"/>
                                <a:ea typeface="宋体" pitchFamily="2" charset="-122"/>
                                <a:cs typeface="+mn-cs"/>
                              </a:defRPr>
                            </a:lvl5pPr>
                            <a:lvl6pPr marL="2286000" algn="l" defTabSz="914400" rtl="0" eaLnBrk="1" latinLnBrk="0" hangingPunct="1">
                              <a:defRPr kern="1200">
                                <a:solidFill>
                                  <a:schemeClr val="tx1"/>
                                </a:solidFill>
                                <a:latin typeface="Arial" pitchFamily="34" charset="0"/>
                                <a:ea typeface="宋体" pitchFamily="2" charset="-122"/>
                                <a:cs typeface="+mn-cs"/>
                              </a:defRPr>
                            </a:lvl6pPr>
                            <a:lvl7pPr marL="2743200" algn="l" defTabSz="914400" rtl="0" eaLnBrk="1" latinLnBrk="0" hangingPunct="1">
                              <a:defRPr kern="1200">
                                <a:solidFill>
                                  <a:schemeClr val="tx1"/>
                                </a:solidFill>
                                <a:latin typeface="Arial" pitchFamily="34" charset="0"/>
                                <a:ea typeface="宋体" pitchFamily="2" charset="-122"/>
                                <a:cs typeface="+mn-cs"/>
                              </a:defRPr>
                            </a:lvl7pPr>
                            <a:lvl8pPr marL="3200400" algn="l" defTabSz="914400" rtl="0" eaLnBrk="1" latinLnBrk="0" hangingPunct="1">
                              <a:defRPr kern="1200">
                                <a:solidFill>
                                  <a:schemeClr val="tx1"/>
                                </a:solidFill>
                                <a:latin typeface="Arial" pitchFamily="34" charset="0"/>
                                <a:ea typeface="宋体" pitchFamily="2" charset="-122"/>
                                <a:cs typeface="+mn-cs"/>
                              </a:defRPr>
                            </a:lvl8pPr>
                            <a:lvl9pPr marL="3657600" algn="l" defTabSz="914400" rtl="0" eaLnBrk="1" latinLnBrk="0" hangingPunct="1">
                              <a:defRPr kern="1200">
                                <a:solidFill>
                                  <a:schemeClr val="tx1"/>
                                </a:solidFill>
                                <a:latin typeface="Arial" pitchFamily="34" charset="0"/>
                                <a:ea typeface="宋体" pitchFamily="2" charset="-122"/>
                                <a:cs typeface="+mn-cs"/>
                              </a:defRPr>
                            </a:lvl9pPr>
                          </a:lstStyle>
                          <a:p>
                            <a:pPr algn="ctr">
                              <a:lnSpc>
                                <a:spcPct val="120000"/>
                              </a:lnSpc>
                              <a:spcBef>
                                <a:spcPct val="20000"/>
                              </a:spcBef>
                            </a:pPr>
                            <a:r>
                              <a:rPr lang="zh-CN" altLang="en-US" b="1">
                                <a:solidFill>
                                  <a:srgbClr val="009900"/>
                                </a:solidFill>
                                <a:latin typeface="Times New Roman" pitchFamily="18" charset="0"/>
                              </a:rPr>
                              <a:t>重力做功只跟始、末位置有关，而跟物体运动的路径无关</a:t>
                            </a:r>
                          </a:p>
                        </a:txBody>
                        <a:useSpRect/>
                      </a:txSp>
                    </a:sp>
                  </a:grpSp>
                  <a:grpSp>
                    <a:nvGrpSpPr>
                      <a:cNvPr id="4" name="Group 11"/>
                      <a:cNvGrpSpPr>
                        <a:grpSpLocks/>
                      </a:cNvGrpSpPr>
                    </a:nvGrpSpPr>
                    <a:grpSpPr bwMode="auto">
                      <a:xfrm>
                        <a:off x="2051050" y="4508500"/>
                        <a:ext cx="2160588" cy="1406525"/>
                        <a:chOff x="1292" y="2840"/>
                        <a:chExt cx="1361" cy="886"/>
                      </a:xfrm>
                    </a:grpSpPr>
                    <a:sp>
                      <a:nvSpPr>
                        <a:cNvPr id="18456" name="Text Box 12"/>
                        <a:cNvSpPr txBox="1">
                          <a:spLocks noChangeArrowheads="1"/>
                        </a:cNvSpPr>
                      </a:nvSpPr>
                      <a:spPr bwMode="auto">
                        <a:xfrm>
                          <a:off x="1519" y="2840"/>
                          <a:ext cx="1134" cy="886"/>
                        </a:xfrm>
                        <a:prstGeom prst="rect">
                          <a:avLst/>
                        </a:prstGeom>
                        <a:solidFill>
                          <a:srgbClr val="FFFFCC"/>
                        </a:solidFill>
                        <a:ln w="38100" algn="ctr">
                          <a:solidFill>
                            <a:srgbClr val="FF0000"/>
                          </a:solidFill>
                          <a:miter lim="800000"/>
                          <a:headEnd/>
                          <a:tailEnd/>
                        </a:ln>
                      </a:spPr>
                      <a:txSp>
                        <a:txBody>
                          <a:bodyPr tIns="82800" bIns="190800">
                            <a:spAutoFit/>
                          </a:bodyPr>
                          <a:lstStyle>
                            <a:defPPr>
                              <a:defRPr lang="zh-CN"/>
                            </a:defPPr>
                            <a:lvl1pPr algn="l" rtl="0" fontAlgn="base">
                              <a:spcBef>
                                <a:spcPct val="0"/>
                              </a:spcBef>
                              <a:spcAft>
                                <a:spcPct val="0"/>
                              </a:spcAft>
                              <a:defRPr kern="1200">
                                <a:solidFill>
                                  <a:schemeClr val="tx1"/>
                                </a:solidFill>
                                <a:latin typeface="Arial" pitchFamily="34" charset="0"/>
                                <a:ea typeface="宋体" pitchFamily="2" charset="-122"/>
                                <a:cs typeface="+mn-cs"/>
                              </a:defRPr>
                            </a:lvl1pPr>
                            <a:lvl2pPr marL="457200" algn="l" rtl="0" fontAlgn="base">
                              <a:spcBef>
                                <a:spcPct val="0"/>
                              </a:spcBef>
                              <a:spcAft>
                                <a:spcPct val="0"/>
                              </a:spcAft>
                              <a:defRPr kern="1200">
                                <a:solidFill>
                                  <a:schemeClr val="tx1"/>
                                </a:solidFill>
                                <a:latin typeface="Arial" pitchFamily="34" charset="0"/>
                                <a:ea typeface="宋体" pitchFamily="2" charset="-122"/>
                                <a:cs typeface="+mn-cs"/>
                              </a:defRPr>
                            </a:lvl2pPr>
                            <a:lvl3pPr marL="914400" algn="l" rtl="0" fontAlgn="base">
                              <a:spcBef>
                                <a:spcPct val="0"/>
                              </a:spcBef>
                              <a:spcAft>
                                <a:spcPct val="0"/>
                              </a:spcAft>
                              <a:defRPr kern="1200">
                                <a:solidFill>
                                  <a:schemeClr val="tx1"/>
                                </a:solidFill>
                                <a:latin typeface="Arial" pitchFamily="34" charset="0"/>
                                <a:ea typeface="宋体" pitchFamily="2" charset="-122"/>
                                <a:cs typeface="+mn-cs"/>
                              </a:defRPr>
                            </a:lvl3pPr>
                            <a:lvl4pPr marL="1371600" algn="l" rtl="0" fontAlgn="base">
                              <a:spcBef>
                                <a:spcPct val="0"/>
                              </a:spcBef>
                              <a:spcAft>
                                <a:spcPct val="0"/>
                              </a:spcAft>
                              <a:defRPr kern="1200">
                                <a:solidFill>
                                  <a:schemeClr val="tx1"/>
                                </a:solidFill>
                                <a:latin typeface="Arial" pitchFamily="34" charset="0"/>
                                <a:ea typeface="宋体" pitchFamily="2" charset="-122"/>
                                <a:cs typeface="+mn-cs"/>
                              </a:defRPr>
                            </a:lvl4pPr>
                            <a:lvl5pPr marL="1828800" algn="l" rtl="0" fontAlgn="base">
                              <a:spcBef>
                                <a:spcPct val="0"/>
                              </a:spcBef>
                              <a:spcAft>
                                <a:spcPct val="0"/>
                              </a:spcAft>
                              <a:defRPr kern="1200">
                                <a:solidFill>
                                  <a:schemeClr val="tx1"/>
                                </a:solidFill>
                                <a:latin typeface="Arial" pitchFamily="34" charset="0"/>
                                <a:ea typeface="宋体" pitchFamily="2" charset="-122"/>
                                <a:cs typeface="+mn-cs"/>
                              </a:defRPr>
                            </a:lvl5pPr>
                            <a:lvl6pPr marL="2286000" algn="l" defTabSz="914400" rtl="0" eaLnBrk="1" latinLnBrk="0" hangingPunct="1">
                              <a:defRPr kern="1200">
                                <a:solidFill>
                                  <a:schemeClr val="tx1"/>
                                </a:solidFill>
                                <a:latin typeface="Arial" pitchFamily="34" charset="0"/>
                                <a:ea typeface="宋体" pitchFamily="2" charset="-122"/>
                                <a:cs typeface="+mn-cs"/>
                              </a:defRPr>
                            </a:lvl6pPr>
                            <a:lvl7pPr marL="2743200" algn="l" defTabSz="914400" rtl="0" eaLnBrk="1" latinLnBrk="0" hangingPunct="1">
                              <a:defRPr kern="1200">
                                <a:solidFill>
                                  <a:schemeClr val="tx1"/>
                                </a:solidFill>
                                <a:latin typeface="Arial" pitchFamily="34" charset="0"/>
                                <a:ea typeface="宋体" pitchFamily="2" charset="-122"/>
                                <a:cs typeface="+mn-cs"/>
                              </a:defRPr>
                            </a:lvl7pPr>
                            <a:lvl8pPr marL="3200400" algn="l" defTabSz="914400" rtl="0" eaLnBrk="1" latinLnBrk="0" hangingPunct="1">
                              <a:defRPr kern="1200">
                                <a:solidFill>
                                  <a:schemeClr val="tx1"/>
                                </a:solidFill>
                                <a:latin typeface="Arial" pitchFamily="34" charset="0"/>
                                <a:ea typeface="宋体" pitchFamily="2" charset="-122"/>
                                <a:cs typeface="+mn-cs"/>
                              </a:defRPr>
                            </a:lvl8pPr>
                            <a:lvl9pPr marL="3657600" algn="l" defTabSz="914400" rtl="0" eaLnBrk="1" latinLnBrk="0" hangingPunct="1">
                              <a:defRPr kern="1200">
                                <a:solidFill>
                                  <a:schemeClr val="tx1"/>
                                </a:solidFill>
                                <a:latin typeface="Arial" pitchFamily="34" charset="0"/>
                                <a:ea typeface="宋体" pitchFamily="2" charset="-122"/>
                                <a:cs typeface="+mn-cs"/>
                              </a:defRPr>
                            </a:lvl9pPr>
                          </a:lstStyle>
                          <a:p>
                            <a:pPr>
                              <a:lnSpc>
                                <a:spcPct val="120000"/>
                              </a:lnSpc>
                              <a:spcBef>
                                <a:spcPct val="90000"/>
                              </a:spcBef>
                              <a:spcAft>
                                <a:spcPct val="90000"/>
                              </a:spcAft>
                            </a:pPr>
                            <a:r>
                              <a:rPr lang="zh-CN" altLang="en-US" sz="2000" b="1">
                                <a:solidFill>
                                  <a:srgbClr val="FF0000"/>
                                </a:solidFill>
                                <a:latin typeface="Times New Roman" pitchFamily="18" charset="0"/>
                                <a:ea typeface="楷体_GB2312" pitchFamily="49" charset="-122"/>
                              </a:rPr>
                              <a:t>始末状态的</a:t>
                            </a:r>
                            <a:r>
                              <a:rPr lang="en-US" altLang="zh-CN" sz="2000" b="1">
                                <a:solidFill>
                                  <a:srgbClr val="FF0000"/>
                                </a:solidFill>
                                <a:latin typeface="Times New Roman" pitchFamily="18" charset="0"/>
                                <a:ea typeface="楷体_GB2312" pitchFamily="49" charset="-122"/>
                              </a:rPr>
                              <a:t>mgh</a:t>
                            </a:r>
                            <a:r>
                              <a:rPr lang="zh-CN" altLang="en-US" sz="2000" b="1">
                                <a:solidFill>
                                  <a:srgbClr val="FF0000"/>
                                </a:solidFill>
                                <a:latin typeface="Times New Roman" pitchFamily="18" charset="0"/>
                                <a:ea typeface="楷体_GB2312" pitchFamily="49" charset="-122"/>
                              </a:rPr>
                              <a:t>之差等于重力的功</a:t>
                            </a:r>
                          </a:p>
                        </a:txBody>
                        <a:useSpRect/>
                      </a:txSp>
                    </a:sp>
                    <a:sp>
                      <a:nvSpPr>
                        <a:cNvPr id="18457" name="Line 13"/>
                        <a:cNvSpPr>
                          <a:spLocks noChangeShapeType="1"/>
                        </a:cNvSpPr>
                      </a:nvSpPr>
                      <a:spPr bwMode="auto">
                        <a:xfrm>
                          <a:off x="1292" y="3022"/>
                          <a:ext cx="227" cy="0"/>
                        </a:xfrm>
                        <a:prstGeom prst="line">
                          <a:avLst/>
                        </a:prstGeom>
                        <a:noFill/>
                        <a:ln w="38100">
                          <a:solidFill>
                            <a:srgbClr val="FF0000"/>
                          </a:solidFill>
                          <a:round/>
                          <a:headEnd/>
                          <a:tailEnd type="stealth" w="lg" len="lg"/>
                        </a:ln>
                      </a:spPr>
                      <a:txSp>
                        <a:txBody>
                          <a:bodyPr/>
                          <a:lstStyle>
                            <a:defPPr>
                              <a:defRPr lang="zh-CN"/>
                            </a:defPPr>
                            <a:lvl1pPr algn="l" rtl="0" fontAlgn="base">
                              <a:spcBef>
                                <a:spcPct val="0"/>
                              </a:spcBef>
                              <a:spcAft>
                                <a:spcPct val="0"/>
                              </a:spcAft>
                              <a:defRPr kern="1200">
                                <a:solidFill>
                                  <a:schemeClr val="tx1"/>
                                </a:solidFill>
                                <a:latin typeface="Arial" pitchFamily="34" charset="0"/>
                                <a:ea typeface="宋体" pitchFamily="2" charset="-122"/>
                                <a:cs typeface="+mn-cs"/>
                              </a:defRPr>
                            </a:lvl1pPr>
                            <a:lvl2pPr marL="457200" algn="l" rtl="0" fontAlgn="base">
                              <a:spcBef>
                                <a:spcPct val="0"/>
                              </a:spcBef>
                              <a:spcAft>
                                <a:spcPct val="0"/>
                              </a:spcAft>
                              <a:defRPr kern="1200">
                                <a:solidFill>
                                  <a:schemeClr val="tx1"/>
                                </a:solidFill>
                                <a:latin typeface="Arial" pitchFamily="34" charset="0"/>
                                <a:ea typeface="宋体" pitchFamily="2" charset="-122"/>
                                <a:cs typeface="+mn-cs"/>
                              </a:defRPr>
                            </a:lvl2pPr>
                            <a:lvl3pPr marL="914400" algn="l" rtl="0" fontAlgn="base">
                              <a:spcBef>
                                <a:spcPct val="0"/>
                              </a:spcBef>
                              <a:spcAft>
                                <a:spcPct val="0"/>
                              </a:spcAft>
                              <a:defRPr kern="1200">
                                <a:solidFill>
                                  <a:schemeClr val="tx1"/>
                                </a:solidFill>
                                <a:latin typeface="Arial" pitchFamily="34" charset="0"/>
                                <a:ea typeface="宋体" pitchFamily="2" charset="-122"/>
                                <a:cs typeface="+mn-cs"/>
                              </a:defRPr>
                            </a:lvl3pPr>
                            <a:lvl4pPr marL="1371600" algn="l" rtl="0" fontAlgn="base">
                              <a:spcBef>
                                <a:spcPct val="0"/>
                              </a:spcBef>
                              <a:spcAft>
                                <a:spcPct val="0"/>
                              </a:spcAft>
                              <a:defRPr kern="1200">
                                <a:solidFill>
                                  <a:schemeClr val="tx1"/>
                                </a:solidFill>
                                <a:latin typeface="Arial" pitchFamily="34" charset="0"/>
                                <a:ea typeface="宋体" pitchFamily="2" charset="-122"/>
                                <a:cs typeface="+mn-cs"/>
                              </a:defRPr>
                            </a:lvl4pPr>
                            <a:lvl5pPr marL="1828800" algn="l" rtl="0" fontAlgn="base">
                              <a:spcBef>
                                <a:spcPct val="0"/>
                              </a:spcBef>
                              <a:spcAft>
                                <a:spcPct val="0"/>
                              </a:spcAft>
                              <a:defRPr kern="1200">
                                <a:solidFill>
                                  <a:schemeClr val="tx1"/>
                                </a:solidFill>
                                <a:latin typeface="Arial" pitchFamily="34" charset="0"/>
                                <a:ea typeface="宋体" pitchFamily="2" charset="-122"/>
                                <a:cs typeface="+mn-cs"/>
                              </a:defRPr>
                            </a:lvl5pPr>
                            <a:lvl6pPr marL="2286000" algn="l" defTabSz="914400" rtl="0" eaLnBrk="1" latinLnBrk="0" hangingPunct="1">
                              <a:defRPr kern="1200">
                                <a:solidFill>
                                  <a:schemeClr val="tx1"/>
                                </a:solidFill>
                                <a:latin typeface="Arial" pitchFamily="34" charset="0"/>
                                <a:ea typeface="宋体" pitchFamily="2" charset="-122"/>
                                <a:cs typeface="+mn-cs"/>
                              </a:defRPr>
                            </a:lvl6pPr>
                            <a:lvl7pPr marL="2743200" algn="l" defTabSz="914400" rtl="0" eaLnBrk="1" latinLnBrk="0" hangingPunct="1">
                              <a:defRPr kern="1200">
                                <a:solidFill>
                                  <a:schemeClr val="tx1"/>
                                </a:solidFill>
                                <a:latin typeface="Arial" pitchFamily="34" charset="0"/>
                                <a:ea typeface="宋体" pitchFamily="2" charset="-122"/>
                                <a:cs typeface="+mn-cs"/>
                              </a:defRPr>
                            </a:lvl7pPr>
                            <a:lvl8pPr marL="3200400" algn="l" defTabSz="914400" rtl="0" eaLnBrk="1" latinLnBrk="0" hangingPunct="1">
                              <a:defRPr kern="1200">
                                <a:solidFill>
                                  <a:schemeClr val="tx1"/>
                                </a:solidFill>
                                <a:latin typeface="Arial" pitchFamily="34" charset="0"/>
                                <a:ea typeface="宋体" pitchFamily="2" charset="-122"/>
                                <a:cs typeface="+mn-cs"/>
                              </a:defRPr>
                            </a:lvl8pPr>
                            <a:lvl9pPr marL="3657600" algn="l" defTabSz="914400" rtl="0" eaLnBrk="1" latinLnBrk="0" hangingPunct="1">
                              <a:defRPr kern="1200">
                                <a:solidFill>
                                  <a:schemeClr val="tx1"/>
                                </a:solidFill>
                                <a:latin typeface="Arial" pitchFamily="34" charset="0"/>
                                <a:ea typeface="宋体" pitchFamily="2" charset="-122"/>
                                <a:cs typeface="+mn-cs"/>
                              </a:defRPr>
                            </a:lvl9pPr>
                          </a:lstStyle>
                          <a:p>
                            <a:endParaRPr lang="zh-CN" altLang="en-US"/>
                          </a:p>
                        </a:txBody>
                        <a:useSpRect/>
                      </a:txSp>
                    </a:sp>
                  </a:grpSp>
                  <a:grpSp>
                    <a:nvGrpSpPr>
                      <a:cNvPr id="5" name="Group 14"/>
                      <a:cNvGrpSpPr>
                        <a:grpSpLocks/>
                      </a:cNvGrpSpPr>
                    </a:nvGrpSpPr>
                    <a:grpSpPr bwMode="auto">
                      <a:xfrm>
                        <a:off x="4211638" y="3644900"/>
                        <a:ext cx="2374900" cy="1439863"/>
                        <a:chOff x="2653" y="2296"/>
                        <a:chExt cx="1496" cy="907"/>
                      </a:xfrm>
                    </a:grpSpPr>
                    <a:grpSp>
                      <a:nvGrpSpPr>
                        <a:cNvPr id="15" name="Group 15"/>
                        <a:cNvGrpSpPr>
                          <a:grpSpLocks/>
                        </a:cNvGrpSpPr>
                      </a:nvGrpSpPr>
                      <a:grpSpPr bwMode="auto">
                        <a:xfrm>
                          <a:off x="2653" y="2296"/>
                          <a:ext cx="1496" cy="907"/>
                          <a:chOff x="2653" y="2296"/>
                          <a:chExt cx="1496" cy="907"/>
                        </a:xfrm>
                      </a:grpSpPr>
                      <a:sp>
                        <a:nvSpPr>
                          <a:cNvPr id="18453" name="Text Box 16"/>
                          <a:cNvSpPr txBox="1">
                            <a:spLocks noChangeArrowheads="1"/>
                          </a:cNvSpPr>
                        </a:nvSpPr>
                        <a:spPr bwMode="auto">
                          <a:xfrm>
                            <a:off x="3015" y="2405"/>
                            <a:ext cx="1134" cy="656"/>
                          </a:xfrm>
                          <a:prstGeom prst="rect">
                            <a:avLst/>
                          </a:prstGeom>
                          <a:solidFill>
                            <a:srgbClr val="FFFFCC"/>
                          </a:solidFill>
                          <a:ln w="38100" algn="ctr">
                            <a:solidFill>
                              <a:srgbClr val="FF0000"/>
                            </a:solidFill>
                            <a:miter lim="800000"/>
                            <a:headEnd/>
                            <a:tailEnd/>
                          </a:ln>
                        </a:spPr>
                        <a:txSp>
                          <a:txBody>
                            <a:bodyPr tIns="82800" bIns="190800">
                              <a:spAutoFit/>
                            </a:bodyPr>
                            <a:lstStyle>
                              <a:defPPr>
                                <a:defRPr lang="zh-CN"/>
                              </a:defPPr>
                              <a:lvl1pPr algn="l" rtl="0" fontAlgn="base">
                                <a:spcBef>
                                  <a:spcPct val="0"/>
                                </a:spcBef>
                                <a:spcAft>
                                  <a:spcPct val="0"/>
                                </a:spcAft>
                                <a:defRPr kern="1200">
                                  <a:solidFill>
                                    <a:schemeClr val="tx1"/>
                                  </a:solidFill>
                                  <a:latin typeface="Arial" pitchFamily="34" charset="0"/>
                                  <a:ea typeface="宋体" pitchFamily="2" charset="-122"/>
                                  <a:cs typeface="+mn-cs"/>
                                </a:defRPr>
                              </a:lvl1pPr>
                              <a:lvl2pPr marL="457200" algn="l" rtl="0" fontAlgn="base">
                                <a:spcBef>
                                  <a:spcPct val="0"/>
                                </a:spcBef>
                                <a:spcAft>
                                  <a:spcPct val="0"/>
                                </a:spcAft>
                                <a:defRPr kern="1200">
                                  <a:solidFill>
                                    <a:schemeClr val="tx1"/>
                                  </a:solidFill>
                                  <a:latin typeface="Arial" pitchFamily="34" charset="0"/>
                                  <a:ea typeface="宋体" pitchFamily="2" charset="-122"/>
                                  <a:cs typeface="+mn-cs"/>
                                </a:defRPr>
                              </a:lvl2pPr>
                              <a:lvl3pPr marL="914400" algn="l" rtl="0" fontAlgn="base">
                                <a:spcBef>
                                  <a:spcPct val="0"/>
                                </a:spcBef>
                                <a:spcAft>
                                  <a:spcPct val="0"/>
                                </a:spcAft>
                                <a:defRPr kern="1200">
                                  <a:solidFill>
                                    <a:schemeClr val="tx1"/>
                                  </a:solidFill>
                                  <a:latin typeface="Arial" pitchFamily="34" charset="0"/>
                                  <a:ea typeface="宋体" pitchFamily="2" charset="-122"/>
                                  <a:cs typeface="+mn-cs"/>
                                </a:defRPr>
                              </a:lvl3pPr>
                              <a:lvl4pPr marL="1371600" algn="l" rtl="0" fontAlgn="base">
                                <a:spcBef>
                                  <a:spcPct val="0"/>
                                </a:spcBef>
                                <a:spcAft>
                                  <a:spcPct val="0"/>
                                </a:spcAft>
                                <a:defRPr kern="1200">
                                  <a:solidFill>
                                    <a:schemeClr val="tx1"/>
                                  </a:solidFill>
                                  <a:latin typeface="Arial" pitchFamily="34" charset="0"/>
                                  <a:ea typeface="宋体" pitchFamily="2" charset="-122"/>
                                  <a:cs typeface="+mn-cs"/>
                                </a:defRPr>
                              </a:lvl4pPr>
                              <a:lvl5pPr marL="1828800" algn="l" rtl="0" fontAlgn="base">
                                <a:spcBef>
                                  <a:spcPct val="0"/>
                                </a:spcBef>
                                <a:spcAft>
                                  <a:spcPct val="0"/>
                                </a:spcAft>
                                <a:defRPr kern="1200">
                                  <a:solidFill>
                                    <a:schemeClr val="tx1"/>
                                  </a:solidFill>
                                  <a:latin typeface="Arial" pitchFamily="34" charset="0"/>
                                  <a:ea typeface="宋体" pitchFamily="2" charset="-122"/>
                                  <a:cs typeface="+mn-cs"/>
                                </a:defRPr>
                              </a:lvl5pPr>
                              <a:lvl6pPr marL="2286000" algn="l" defTabSz="914400" rtl="0" eaLnBrk="1" latinLnBrk="0" hangingPunct="1">
                                <a:defRPr kern="1200">
                                  <a:solidFill>
                                    <a:schemeClr val="tx1"/>
                                  </a:solidFill>
                                  <a:latin typeface="Arial" pitchFamily="34" charset="0"/>
                                  <a:ea typeface="宋体" pitchFamily="2" charset="-122"/>
                                  <a:cs typeface="+mn-cs"/>
                                </a:defRPr>
                              </a:lvl6pPr>
                              <a:lvl7pPr marL="2743200" algn="l" defTabSz="914400" rtl="0" eaLnBrk="1" latinLnBrk="0" hangingPunct="1">
                                <a:defRPr kern="1200">
                                  <a:solidFill>
                                    <a:schemeClr val="tx1"/>
                                  </a:solidFill>
                                  <a:latin typeface="Arial" pitchFamily="34" charset="0"/>
                                  <a:ea typeface="宋体" pitchFamily="2" charset="-122"/>
                                  <a:cs typeface="+mn-cs"/>
                                </a:defRPr>
                              </a:lvl7pPr>
                              <a:lvl8pPr marL="3200400" algn="l" defTabSz="914400" rtl="0" eaLnBrk="1" latinLnBrk="0" hangingPunct="1">
                                <a:defRPr kern="1200">
                                  <a:solidFill>
                                    <a:schemeClr val="tx1"/>
                                  </a:solidFill>
                                  <a:latin typeface="Arial" pitchFamily="34" charset="0"/>
                                  <a:ea typeface="宋体" pitchFamily="2" charset="-122"/>
                                  <a:cs typeface="+mn-cs"/>
                                </a:defRPr>
                              </a:lvl8pPr>
                              <a:lvl9pPr marL="3657600" algn="l" defTabSz="914400" rtl="0" eaLnBrk="1" latinLnBrk="0" hangingPunct="1">
                                <a:defRPr kern="1200">
                                  <a:solidFill>
                                    <a:schemeClr val="tx1"/>
                                  </a:solidFill>
                                  <a:latin typeface="Arial" pitchFamily="34" charset="0"/>
                                  <a:ea typeface="宋体" pitchFamily="2" charset="-122"/>
                                  <a:cs typeface="+mn-cs"/>
                                </a:defRPr>
                              </a:lvl9pPr>
                            </a:lstStyle>
                            <a:p>
                              <a:pPr algn="ctr">
                                <a:lnSpc>
                                  <a:spcPct val="120000"/>
                                </a:lnSpc>
                              </a:pPr>
                              <a:r>
                                <a:rPr lang="zh-CN" altLang="en-US" sz="2000" b="1">
                                  <a:solidFill>
                                    <a:srgbClr val="FF0000"/>
                                  </a:solidFill>
                                  <a:latin typeface="Times New Roman" pitchFamily="18" charset="0"/>
                                  <a:ea typeface="楷体_GB2312" pitchFamily="49" charset="-122"/>
                                </a:rPr>
                                <a:t>定义重力势能</a:t>
                              </a:r>
                            </a:p>
                            <a:p>
                              <a:pPr algn="ctr">
                                <a:lnSpc>
                                  <a:spcPct val="120000"/>
                                </a:lnSpc>
                              </a:pPr>
                              <a:endParaRPr lang="en-US" altLang="zh-CN" sz="2000" b="1">
                                <a:solidFill>
                                  <a:srgbClr val="FF0000"/>
                                </a:solidFill>
                                <a:latin typeface="Times New Roman" pitchFamily="18" charset="0"/>
                                <a:ea typeface="楷体_GB2312" pitchFamily="49" charset="-122"/>
                              </a:endParaRPr>
                            </a:p>
                          </a:txBody>
                          <a:useSpRect/>
                        </a:txSp>
                      </a:sp>
                      <a:sp>
                        <a:nvSpPr>
                          <a:cNvPr id="18454" name="Freeform 17"/>
                          <a:cNvSpPr>
                            <a:spLocks/>
                          </a:cNvSpPr>
                        </a:nvSpPr>
                        <a:spPr bwMode="auto">
                          <a:xfrm>
                            <a:off x="2653" y="2296"/>
                            <a:ext cx="182" cy="907"/>
                          </a:xfrm>
                          <a:custGeom>
                            <a:avLst/>
                            <a:gdLst>
                              <a:gd name="T0" fmla="*/ 0 w 182"/>
                              <a:gd name="T1" fmla="*/ 0 h 1315"/>
                              <a:gd name="T2" fmla="*/ 182 w 182"/>
                              <a:gd name="T3" fmla="*/ 0 h 1315"/>
                              <a:gd name="T4" fmla="*/ 182 w 182"/>
                              <a:gd name="T5" fmla="*/ 1315 h 1315"/>
                              <a:gd name="T6" fmla="*/ 0 w 182"/>
                              <a:gd name="T7" fmla="*/ 1315 h 1315"/>
                              <a:gd name="T8" fmla="*/ 0 60000 65536"/>
                              <a:gd name="T9" fmla="*/ 0 60000 65536"/>
                              <a:gd name="T10" fmla="*/ 0 60000 65536"/>
                              <a:gd name="T11" fmla="*/ 0 60000 65536"/>
                              <a:gd name="T12" fmla="*/ 0 w 182"/>
                              <a:gd name="T13" fmla="*/ 0 h 1315"/>
                              <a:gd name="T14" fmla="*/ 182 w 182"/>
                              <a:gd name="T15" fmla="*/ 1315 h 1315"/>
                            </a:gdLst>
                            <a:ahLst/>
                            <a:cxnLst>
                              <a:cxn ang="T8">
                                <a:pos x="T0" y="T1"/>
                              </a:cxn>
                              <a:cxn ang="T9">
                                <a:pos x="T2" y="T3"/>
                              </a:cxn>
                              <a:cxn ang="T10">
                                <a:pos x="T4" y="T5"/>
                              </a:cxn>
                              <a:cxn ang="T11">
                                <a:pos x="T6" y="T7"/>
                              </a:cxn>
                            </a:cxnLst>
                            <a:rect l="T12" t="T13" r="T14" b="T15"/>
                            <a:pathLst>
                              <a:path w="182" h="1315">
                                <a:moveTo>
                                  <a:pt x="0" y="0"/>
                                </a:moveTo>
                                <a:lnTo>
                                  <a:pt x="182" y="0"/>
                                </a:lnTo>
                                <a:lnTo>
                                  <a:pt x="182" y="1315"/>
                                </a:lnTo>
                                <a:lnTo>
                                  <a:pt x="0" y="1315"/>
                                </a:lnTo>
                              </a:path>
                            </a:pathLst>
                          </a:custGeom>
                          <a:noFill/>
                          <a:ln w="38100" cmpd="sng">
                            <a:solidFill>
                              <a:srgbClr val="FF0000"/>
                            </a:solidFill>
                            <a:round/>
                            <a:headEnd/>
                            <a:tailEnd/>
                          </a:ln>
                        </a:spPr>
                        <a:txSp>
                          <a:txBody>
                            <a:bodyPr/>
                            <a:lstStyle>
                              <a:defPPr>
                                <a:defRPr lang="zh-CN"/>
                              </a:defPPr>
                              <a:lvl1pPr algn="l" rtl="0" fontAlgn="base">
                                <a:spcBef>
                                  <a:spcPct val="0"/>
                                </a:spcBef>
                                <a:spcAft>
                                  <a:spcPct val="0"/>
                                </a:spcAft>
                                <a:defRPr kern="1200">
                                  <a:solidFill>
                                    <a:schemeClr val="tx1"/>
                                  </a:solidFill>
                                  <a:latin typeface="Arial" pitchFamily="34" charset="0"/>
                                  <a:ea typeface="宋体" pitchFamily="2" charset="-122"/>
                                  <a:cs typeface="+mn-cs"/>
                                </a:defRPr>
                              </a:lvl1pPr>
                              <a:lvl2pPr marL="457200" algn="l" rtl="0" fontAlgn="base">
                                <a:spcBef>
                                  <a:spcPct val="0"/>
                                </a:spcBef>
                                <a:spcAft>
                                  <a:spcPct val="0"/>
                                </a:spcAft>
                                <a:defRPr kern="1200">
                                  <a:solidFill>
                                    <a:schemeClr val="tx1"/>
                                  </a:solidFill>
                                  <a:latin typeface="Arial" pitchFamily="34" charset="0"/>
                                  <a:ea typeface="宋体" pitchFamily="2" charset="-122"/>
                                  <a:cs typeface="+mn-cs"/>
                                </a:defRPr>
                              </a:lvl2pPr>
                              <a:lvl3pPr marL="914400" algn="l" rtl="0" fontAlgn="base">
                                <a:spcBef>
                                  <a:spcPct val="0"/>
                                </a:spcBef>
                                <a:spcAft>
                                  <a:spcPct val="0"/>
                                </a:spcAft>
                                <a:defRPr kern="1200">
                                  <a:solidFill>
                                    <a:schemeClr val="tx1"/>
                                  </a:solidFill>
                                  <a:latin typeface="Arial" pitchFamily="34" charset="0"/>
                                  <a:ea typeface="宋体" pitchFamily="2" charset="-122"/>
                                  <a:cs typeface="+mn-cs"/>
                                </a:defRPr>
                              </a:lvl3pPr>
                              <a:lvl4pPr marL="1371600" algn="l" rtl="0" fontAlgn="base">
                                <a:spcBef>
                                  <a:spcPct val="0"/>
                                </a:spcBef>
                                <a:spcAft>
                                  <a:spcPct val="0"/>
                                </a:spcAft>
                                <a:defRPr kern="1200">
                                  <a:solidFill>
                                    <a:schemeClr val="tx1"/>
                                  </a:solidFill>
                                  <a:latin typeface="Arial" pitchFamily="34" charset="0"/>
                                  <a:ea typeface="宋体" pitchFamily="2" charset="-122"/>
                                  <a:cs typeface="+mn-cs"/>
                                </a:defRPr>
                              </a:lvl4pPr>
                              <a:lvl5pPr marL="1828800" algn="l" rtl="0" fontAlgn="base">
                                <a:spcBef>
                                  <a:spcPct val="0"/>
                                </a:spcBef>
                                <a:spcAft>
                                  <a:spcPct val="0"/>
                                </a:spcAft>
                                <a:defRPr kern="1200">
                                  <a:solidFill>
                                    <a:schemeClr val="tx1"/>
                                  </a:solidFill>
                                  <a:latin typeface="Arial" pitchFamily="34" charset="0"/>
                                  <a:ea typeface="宋体" pitchFamily="2" charset="-122"/>
                                  <a:cs typeface="+mn-cs"/>
                                </a:defRPr>
                              </a:lvl5pPr>
                              <a:lvl6pPr marL="2286000" algn="l" defTabSz="914400" rtl="0" eaLnBrk="1" latinLnBrk="0" hangingPunct="1">
                                <a:defRPr kern="1200">
                                  <a:solidFill>
                                    <a:schemeClr val="tx1"/>
                                  </a:solidFill>
                                  <a:latin typeface="Arial" pitchFamily="34" charset="0"/>
                                  <a:ea typeface="宋体" pitchFamily="2" charset="-122"/>
                                  <a:cs typeface="+mn-cs"/>
                                </a:defRPr>
                              </a:lvl6pPr>
                              <a:lvl7pPr marL="2743200" algn="l" defTabSz="914400" rtl="0" eaLnBrk="1" latinLnBrk="0" hangingPunct="1">
                                <a:defRPr kern="1200">
                                  <a:solidFill>
                                    <a:schemeClr val="tx1"/>
                                  </a:solidFill>
                                  <a:latin typeface="Arial" pitchFamily="34" charset="0"/>
                                  <a:ea typeface="宋体" pitchFamily="2" charset="-122"/>
                                  <a:cs typeface="+mn-cs"/>
                                </a:defRPr>
                              </a:lvl7pPr>
                              <a:lvl8pPr marL="3200400" algn="l" defTabSz="914400" rtl="0" eaLnBrk="1" latinLnBrk="0" hangingPunct="1">
                                <a:defRPr kern="1200">
                                  <a:solidFill>
                                    <a:schemeClr val="tx1"/>
                                  </a:solidFill>
                                  <a:latin typeface="Arial" pitchFamily="34" charset="0"/>
                                  <a:ea typeface="宋体" pitchFamily="2" charset="-122"/>
                                  <a:cs typeface="+mn-cs"/>
                                </a:defRPr>
                              </a:lvl8pPr>
                              <a:lvl9pPr marL="3657600" algn="l" defTabSz="914400" rtl="0" eaLnBrk="1" latinLnBrk="0" hangingPunct="1">
                                <a:defRPr kern="1200">
                                  <a:solidFill>
                                    <a:schemeClr val="tx1"/>
                                  </a:solidFill>
                                  <a:latin typeface="Arial" pitchFamily="34" charset="0"/>
                                  <a:ea typeface="宋体" pitchFamily="2" charset="-122"/>
                                  <a:cs typeface="+mn-cs"/>
                                </a:defRPr>
                              </a:lvl9pPr>
                            </a:lstStyle>
                            <a:p>
                              <a:endParaRPr lang="zh-CN" altLang="en-US"/>
                            </a:p>
                          </a:txBody>
                          <a:useSpRect/>
                        </a:txSp>
                      </a:sp>
                      <a:sp>
                        <a:nvSpPr>
                          <a:cNvPr id="18455" name="Line 18"/>
                          <a:cNvSpPr>
                            <a:spLocks noChangeShapeType="1"/>
                          </a:cNvSpPr>
                        </a:nvSpPr>
                        <a:spPr bwMode="auto">
                          <a:xfrm>
                            <a:off x="2835" y="2750"/>
                            <a:ext cx="227" cy="0"/>
                          </a:xfrm>
                          <a:prstGeom prst="line">
                            <a:avLst/>
                          </a:prstGeom>
                          <a:noFill/>
                          <a:ln w="38100">
                            <a:solidFill>
                              <a:srgbClr val="FF0000"/>
                            </a:solidFill>
                            <a:round/>
                            <a:headEnd/>
                            <a:tailEnd type="stealth" w="lg" len="lg"/>
                          </a:ln>
                        </a:spPr>
                        <a:txSp>
                          <a:txBody>
                            <a:bodyPr/>
                            <a:lstStyle>
                              <a:defPPr>
                                <a:defRPr lang="zh-CN"/>
                              </a:defPPr>
                              <a:lvl1pPr algn="l" rtl="0" fontAlgn="base">
                                <a:spcBef>
                                  <a:spcPct val="0"/>
                                </a:spcBef>
                                <a:spcAft>
                                  <a:spcPct val="0"/>
                                </a:spcAft>
                                <a:defRPr kern="1200">
                                  <a:solidFill>
                                    <a:schemeClr val="tx1"/>
                                  </a:solidFill>
                                  <a:latin typeface="Arial" pitchFamily="34" charset="0"/>
                                  <a:ea typeface="宋体" pitchFamily="2" charset="-122"/>
                                  <a:cs typeface="+mn-cs"/>
                                </a:defRPr>
                              </a:lvl1pPr>
                              <a:lvl2pPr marL="457200" algn="l" rtl="0" fontAlgn="base">
                                <a:spcBef>
                                  <a:spcPct val="0"/>
                                </a:spcBef>
                                <a:spcAft>
                                  <a:spcPct val="0"/>
                                </a:spcAft>
                                <a:defRPr kern="1200">
                                  <a:solidFill>
                                    <a:schemeClr val="tx1"/>
                                  </a:solidFill>
                                  <a:latin typeface="Arial" pitchFamily="34" charset="0"/>
                                  <a:ea typeface="宋体" pitchFamily="2" charset="-122"/>
                                  <a:cs typeface="+mn-cs"/>
                                </a:defRPr>
                              </a:lvl2pPr>
                              <a:lvl3pPr marL="914400" algn="l" rtl="0" fontAlgn="base">
                                <a:spcBef>
                                  <a:spcPct val="0"/>
                                </a:spcBef>
                                <a:spcAft>
                                  <a:spcPct val="0"/>
                                </a:spcAft>
                                <a:defRPr kern="1200">
                                  <a:solidFill>
                                    <a:schemeClr val="tx1"/>
                                  </a:solidFill>
                                  <a:latin typeface="Arial" pitchFamily="34" charset="0"/>
                                  <a:ea typeface="宋体" pitchFamily="2" charset="-122"/>
                                  <a:cs typeface="+mn-cs"/>
                                </a:defRPr>
                              </a:lvl3pPr>
                              <a:lvl4pPr marL="1371600" algn="l" rtl="0" fontAlgn="base">
                                <a:spcBef>
                                  <a:spcPct val="0"/>
                                </a:spcBef>
                                <a:spcAft>
                                  <a:spcPct val="0"/>
                                </a:spcAft>
                                <a:defRPr kern="1200">
                                  <a:solidFill>
                                    <a:schemeClr val="tx1"/>
                                  </a:solidFill>
                                  <a:latin typeface="Arial" pitchFamily="34" charset="0"/>
                                  <a:ea typeface="宋体" pitchFamily="2" charset="-122"/>
                                  <a:cs typeface="+mn-cs"/>
                                </a:defRPr>
                              </a:lvl4pPr>
                              <a:lvl5pPr marL="1828800" algn="l" rtl="0" fontAlgn="base">
                                <a:spcBef>
                                  <a:spcPct val="0"/>
                                </a:spcBef>
                                <a:spcAft>
                                  <a:spcPct val="0"/>
                                </a:spcAft>
                                <a:defRPr kern="1200">
                                  <a:solidFill>
                                    <a:schemeClr val="tx1"/>
                                  </a:solidFill>
                                  <a:latin typeface="Arial" pitchFamily="34" charset="0"/>
                                  <a:ea typeface="宋体" pitchFamily="2" charset="-122"/>
                                  <a:cs typeface="+mn-cs"/>
                                </a:defRPr>
                              </a:lvl5pPr>
                              <a:lvl6pPr marL="2286000" algn="l" defTabSz="914400" rtl="0" eaLnBrk="1" latinLnBrk="0" hangingPunct="1">
                                <a:defRPr kern="1200">
                                  <a:solidFill>
                                    <a:schemeClr val="tx1"/>
                                  </a:solidFill>
                                  <a:latin typeface="Arial" pitchFamily="34" charset="0"/>
                                  <a:ea typeface="宋体" pitchFamily="2" charset="-122"/>
                                  <a:cs typeface="+mn-cs"/>
                                </a:defRPr>
                              </a:lvl6pPr>
                              <a:lvl7pPr marL="2743200" algn="l" defTabSz="914400" rtl="0" eaLnBrk="1" latinLnBrk="0" hangingPunct="1">
                                <a:defRPr kern="1200">
                                  <a:solidFill>
                                    <a:schemeClr val="tx1"/>
                                  </a:solidFill>
                                  <a:latin typeface="Arial" pitchFamily="34" charset="0"/>
                                  <a:ea typeface="宋体" pitchFamily="2" charset="-122"/>
                                  <a:cs typeface="+mn-cs"/>
                                </a:defRPr>
                              </a:lvl7pPr>
                              <a:lvl8pPr marL="3200400" algn="l" defTabSz="914400" rtl="0" eaLnBrk="1" latinLnBrk="0" hangingPunct="1">
                                <a:defRPr kern="1200">
                                  <a:solidFill>
                                    <a:schemeClr val="tx1"/>
                                  </a:solidFill>
                                  <a:latin typeface="Arial" pitchFamily="34" charset="0"/>
                                  <a:ea typeface="宋体" pitchFamily="2" charset="-122"/>
                                  <a:cs typeface="+mn-cs"/>
                                </a:defRPr>
                              </a:lvl8pPr>
                              <a:lvl9pPr marL="3657600" algn="l" defTabSz="914400" rtl="0" eaLnBrk="1" latinLnBrk="0" hangingPunct="1">
                                <a:defRPr kern="1200">
                                  <a:solidFill>
                                    <a:schemeClr val="tx1"/>
                                  </a:solidFill>
                                  <a:latin typeface="Arial" pitchFamily="34" charset="0"/>
                                  <a:ea typeface="宋体" pitchFamily="2" charset="-122"/>
                                  <a:cs typeface="+mn-cs"/>
                                </a:defRPr>
                              </a:lvl9pPr>
                            </a:lstStyle>
                            <a:p>
                              <a:endParaRPr lang="zh-CN" altLang="en-US"/>
                            </a:p>
                          </a:txBody>
                          <a:useSpRect/>
                        </a:txSp>
                      </a:sp>
                    </a:grpSp>
                    <a:sp>
                      <a:nvSpPr>
                        <a:cNvPr id="18452" name="Text Box 19"/>
                        <a:cNvSpPr txBox="1">
                          <a:spLocks noChangeArrowheads="1"/>
                        </a:cNvSpPr>
                      </a:nvSpPr>
                      <a:spPr bwMode="auto">
                        <a:xfrm>
                          <a:off x="3198" y="2749"/>
                          <a:ext cx="816" cy="250"/>
                        </a:xfrm>
                        <a:prstGeom prst="rect">
                          <a:avLst/>
                        </a:prstGeom>
                        <a:solidFill>
                          <a:srgbClr val="FFFFCC"/>
                        </a:solidFill>
                        <a:ln w="9525">
                          <a:noFill/>
                          <a:miter lim="800000"/>
                          <a:headEnd/>
                          <a:tailEnd/>
                        </a:ln>
                      </a:spPr>
                      <a:txSp>
                        <a:txBody>
                          <a:bodyPr>
                            <a:spAutoFit/>
                          </a:bodyPr>
                          <a:lstStyle>
                            <a:defPPr>
                              <a:defRPr lang="zh-CN"/>
                            </a:defPPr>
                            <a:lvl1pPr algn="l" rtl="0" fontAlgn="base">
                              <a:spcBef>
                                <a:spcPct val="0"/>
                              </a:spcBef>
                              <a:spcAft>
                                <a:spcPct val="0"/>
                              </a:spcAft>
                              <a:defRPr kern="1200">
                                <a:solidFill>
                                  <a:schemeClr val="tx1"/>
                                </a:solidFill>
                                <a:latin typeface="Arial" pitchFamily="34" charset="0"/>
                                <a:ea typeface="宋体" pitchFamily="2" charset="-122"/>
                                <a:cs typeface="+mn-cs"/>
                              </a:defRPr>
                            </a:lvl1pPr>
                            <a:lvl2pPr marL="457200" algn="l" rtl="0" fontAlgn="base">
                              <a:spcBef>
                                <a:spcPct val="0"/>
                              </a:spcBef>
                              <a:spcAft>
                                <a:spcPct val="0"/>
                              </a:spcAft>
                              <a:defRPr kern="1200">
                                <a:solidFill>
                                  <a:schemeClr val="tx1"/>
                                </a:solidFill>
                                <a:latin typeface="Arial" pitchFamily="34" charset="0"/>
                                <a:ea typeface="宋体" pitchFamily="2" charset="-122"/>
                                <a:cs typeface="+mn-cs"/>
                              </a:defRPr>
                            </a:lvl2pPr>
                            <a:lvl3pPr marL="914400" algn="l" rtl="0" fontAlgn="base">
                              <a:spcBef>
                                <a:spcPct val="0"/>
                              </a:spcBef>
                              <a:spcAft>
                                <a:spcPct val="0"/>
                              </a:spcAft>
                              <a:defRPr kern="1200">
                                <a:solidFill>
                                  <a:schemeClr val="tx1"/>
                                </a:solidFill>
                                <a:latin typeface="Arial" pitchFamily="34" charset="0"/>
                                <a:ea typeface="宋体" pitchFamily="2" charset="-122"/>
                                <a:cs typeface="+mn-cs"/>
                              </a:defRPr>
                            </a:lvl3pPr>
                            <a:lvl4pPr marL="1371600" algn="l" rtl="0" fontAlgn="base">
                              <a:spcBef>
                                <a:spcPct val="0"/>
                              </a:spcBef>
                              <a:spcAft>
                                <a:spcPct val="0"/>
                              </a:spcAft>
                              <a:defRPr kern="1200">
                                <a:solidFill>
                                  <a:schemeClr val="tx1"/>
                                </a:solidFill>
                                <a:latin typeface="Arial" pitchFamily="34" charset="0"/>
                                <a:ea typeface="宋体" pitchFamily="2" charset="-122"/>
                                <a:cs typeface="+mn-cs"/>
                              </a:defRPr>
                            </a:lvl4pPr>
                            <a:lvl5pPr marL="1828800" algn="l" rtl="0" fontAlgn="base">
                              <a:spcBef>
                                <a:spcPct val="0"/>
                              </a:spcBef>
                              <a:spcAft>
                                <a:spcPct val="0"/>
                              </a:spcAft>
                              <a:defRPr kern="1200">
                                <a:solidFill>
                                  <a:schemeClr val="tx1"/>
                                </a:solidFill>
                                <a:latin typeface="Arial" pitchFamily="34" charset="0"/>
                                <a:ea typeface="宋体" pitchFamily="2" charset="-122"/>
                                <a:cs typeface="+mn-cs"/>
                              </a:defRPr>
                            </a:lvl5pPr>
                            <a:lvl6pPr marL="2286000" algn="l" defTabSz="914400" rtl="0" eaLnBrk="1" latinLnBrk="0" hangingPunct="1">
                              <a:defRPr kern="1200">
                                <a:solidFill>
                                  <a:schemeClr val="tx1"/>
                                </a:solidFill>
                                <a:latin typeface="Arial" pitchFamily="34" charset="0"/>
                                <a:ea typeface="宋体" pitchFamily="2" charset="-122"/>
                                <a:cs typeface="+mn-cs"/>
                              </a:defRPr>
                            </a:lvl6pPr>
                            <a:lvl7pPr marL="2743200" algn="l" defTabSz="914400" rtl="0" eaLnBrk="1" latinLnBrk="0" hangingPunct="1">
                              <a:defRPr kern="1200">
                                <a:solidFill>
                                  <a:schemeClr val="tx1"/>
                                </a:solidFill>
                                <a:latin typeface="Arial" pitchFamily="34" charset="0"/>
                                <a:ea typeface="宋体" pitchFamily="2" charset="-122"/>
                                <a:cs typeface="+mn-cs"/>
                              </a:defRPr>
                            </a:lvl7pPr>
                            <a:lvl8pPr marL="3200400" algn="l" defTabSz="914400" rtl="0" eaLnBrk="1" latinLnBrk="0" hangingPunct="1">
                              <a:defRPr kern="1200">
                                <a:solidFill>
                                  <a:schemeClr val="tx1"/>
                                </a:solidFill>
                                <a:latin typeface="Arial" pitchFamily="34" charset="0"/>
                                <a:ea typeface="宋体" pitchFamily="2" charset="-122"/>
                                <a:cs typeface="+mn-cs"/>
                              </a:defRPr>
                            </a:lvl8pPr>
                            <a:lvl9pPr marL="3657600" algn="l" defTabSz="914400" rtl="0" eaLnBrk="1" latinLnBrk="0" hangingPunct="1">
                              <a:defRPr kern="1200">
                                <a:solidFill>
                                  <a:schemeClr val="tx1"/>
                                </a:solidFill>
                                <a:latin typeface="Arial" pitchFamily="34" charset="0"/>
                                <a:ea typeface="宋体" pitchFamily="2" charset="-122"/>
                                <a:cs typeface="+mn-cs"/>
                              </a:defRPr>
                            </a:lvl9pPr>
                          </a:lstStyle>
                          <a:p>
                            <a:pPr>
                              <a:lnSpc>
                                <a:spcPct val="95000"/>
                              </a:lnSpc>
                            </a:pPr>
                            <a:r>
                              <a:rPr lang="en-US" altLang="zh-CN" sz="2100" b="1" i="1">
                                <a:solidFill>
                                  <a:srgbClr val="009900"/>
                                </a:solidFill>
                                <a:latin typeface="Times New Roman" pitchFamily="18" charset="0"/>
                              </a:rPr>
                              <a:t>E</a:t>
                            </a:r>
                            <a:r>
                              <a:rPr lang="en-US" altLang="zh-CN" sz="2100" b="1" i="1" baseline="-25000">
                                <a:solidFill>
                                  <a:srgbClr val="009900"/>
                                </a:solidFill>
                                <a:latin typeface="Times New Roman" pitchFamily="18" charset="0"/>
                              </a:rPr>
                              <a:t>P</a:t>
                            </a:r>
                            <a:r>
                              <a:rPr lang="zh-CN" altLang="en-US" sz="2100" b="1">
                                <a:solidFill>
                                  <a:srgbClr val="009900"/>
                                </a:solidFill>
                                <a:latin typeface="Times New Roman" pitchFamily="18" charset="0"/>
                              </a:rPr>
                              <a:t>＝</a:t>
                            </a:r>
                            <a:r>
                              <a:rPr lang="en-US" altLang="zh-CN" sz="2100" b="1" i="1">
                                <a:solidFill>
                                  <a:srgbClr val="009900"/>
                                </a:solidFill>
                                <a:latin typeface="Times New Roman" pitchFamily="18" charset="0"/>
                              </a:rPr>
                              <a:t>mgh</a:t>
                            </a:r>
                            <a:endParaRPr lang="en-US" altLang="zh-CN" sz="2100" b="1" i="1" baseline="-25000">
                              <a:solidFill>
                                <a:srgbClr val="009900"/>
                              </a:solidFill>
                              <a:latin typeface="Times New Roman" pitchFamily="18" charset="0"/>
                            </a:endParaRPr>
                          </a:p>
                        </a:txBody>
                        <a:useSpRect/>
                      </a:txSp>
                    </a:sp>
                  </a:grpSp>
                  <a:grpSp>
                    <a:nvGrpSpPr>
                      <a:cNvPr id="7" name="Group 20"/>
                      <a:cNvGrpSpPr>
                        <a:grpSpLocks/>
                      </a:cNvGrpSpPr>
                    </a:nvGrpSpPr>
                    <a:grpSpPr bwMode="auto">
                      <a:xfrm>
                        <a:off x="6659563" y="4005263"/>
                        <a:ext cx="2233612" cy="647700"/>
                        <a:chOff x="4195" y="2523"/>
                        <a:chExt cx="1407" cy="408"/>
                      </a:xfrm>
                    </a:grpSpPr>
                    <a:sp>
                      <a:nvSpPr>
                        <a:cNvPr id="18448" name="AutoShape 21"/>
                        <a:cNvSpPr>
                          <a:spLocks noChangeArrowheads="1"/>
                        </a:cNvSpPr>
                      </a:nvSpPr>
                      <a:spPr bwMode="auto">
                        <a:xfrm>
                          <a:off x="4195" y="2614"/>
                          <a:ext cx="227" cy="182"/>
                        </a:xfrm>
                        <a:prstGeom prst="notchedRightArrow">
                          <a:avLst>
                            <a:gd name="adj1" fmla="val 50000"/>
                            <a:gd name="adj2" fmla="val 31181"/>
                          </a:avLst>
                        </a:prstGeom>
                        <a:solidFill>
                          <a:srgbClr val="FF3300"/>
                        </a:solidFill>
                        <a:ln w="9525" algn="ctr">
                          <a:solidFill>
                            <a:srgbClr val="000000"/>
                          </a:solidFill>
                          <a:miter lim="800000"/>
                          <a:headEnd/>
                          <a:tailEnd/>
                        </a:ln>
                      </a:spPr>
                      <a:txSp>
                        <a:txBody>
                          <a:bodyPr wrap="none" anchor="ctr"/>
                          <a:lstStyle>
                            <a:defPPr>
                              <a:defRPr lang="zh-CN"/>
                            </a:defPPr>
                            <a:lvl1pPr algn="l" rtl="0" fontAlgn="base">
                              <a:spcBef>
                                <a:spcPct val="0"/>
                              </a:spcBef>
                              <a:spcAft>
                                <a:spcPct val="0"/>
                              </a:spcAft>
                              <a:defRPr kern="1200">
                                <a:solidFill>
                                  <a:schemeClr val="tx1"/>
                                </a:solidFill>
                                <a:latin typeface="Arial" pitchFamily="34" charset="0"/>
                                <a:ea typeface="宋体" pitchFamily="2" charset="-122"/>
                                <a:cs typeface="+mn-cs"/>
                              </a:defRPr>
                            </a:lvl1pPr>
                            <a:lvl2pPr marL="457200" algn="l" rtl="0" fontAlgn="base">
                              <a:spcBef>
                                <a:spcPct val="0"/>
                              </a:spcBef>
                              <a:spcAft>
                                <a:spcPct val="0"/>
                              </a:spcAft>
                              <a:defRPr kern="1200">
                                <a:solidFill>
                                  <a:schemeClr val="tx1"/>
                                </a:solidFill>
                                <a:latin typeface="Arial" pitchFamily="34" charset="0"/>
                                <a:ea typeface="宋体" pitchFamily="2" charset="-122"/>
                                <a:cs typeface="+mn-cs"/>
                              </a:defRPr>
                            </a:lvl2pPr>
                            <a:lvl3pPr marL="914400" algn="l" rtl="0" fontAlgn="base">
                              <a:spcBef>
                                <a:spcPct val="0"/>
                              </a:spcBef>
                              <a:spcAft>
                                <a:spcPct val="0"/>
                              </a:spcAft>
                              <a:defRPr kern="1200">
                                <a:solidFill>
                                  <a:schemeClr val="tx1"/>
                                </a:solidFill>
                                <a:latin typeface="Arial" pitchFamily="34" charset="0"/>
                                <a:ea typeface="宋体" pitchFamily="2" charset="-122"/>
                                <a:cs typeface="+mn-cs"/>
                              </a:defRPr>
                            </a:lvl3pPr>
                            <a:lvl4pPr marL="1371600" algn="l" rtl="0" fontAlgn="base">
                              <a:spcBef>
                                <a:spcPct val="0"/>
                              </a:spcBef>
                              <a:spcAft>
                                <a:spcPct val="0"/>
                              </a:spcAft>
                              <a:defRPr kern="1200">
                                <a:solidFill>
                                  <a:schemeClr val="tx1"/>
                                </a:solidFill>
                                <a:latin typeface="Arial" pitchFamily="34" charset="0"/>
                                <a:ea typeface="宋体" pitchFamily="2" charset="-122"/>
                                <a:cs typeface="+mn-cs"/>
                              </a:defRPr>
                            </a:lvl4pPr>
                            <a:lvl5pPr marL="1828800" algn="l" rtl="0" fontAlgn="base">
                              <a:spcBef>
                                <a:spcPct val="0"/>
                              </a:spcBef>
                              <a:spcAft>
                                <a:spcPct val="0"/>
                              </a:spcAft>
                              <a:defRPr kern="1200">
                                <a:solidFill>
                                  <a:schemeClr val="tx1"/>
                                </a:solidFill>
                                <a:latin typeface="Arial" pitchFamily="34" charset="0"/>
                                <a:ea typeface="宋体" pitchFamily="2" charset="-122"/>
                                <a:cs typeface="+mn-cs"/>
                              </a:defRPr>
                            </a:lvl5pPr>
                            <a:lvl6pPr marL="2286000" algn="l" defTabSz="914400" rtl="0" eaLnBrk="1" latinLnBrk="0" hangingPunct="1">
                              <a:defRPr kern="1200">
                                <a:solidFill>
                                  <a:schemeClr val="tx1"/>
                                </a:solidFill>
                                <a:latin typeface="Arial" pitchFamily="34" charset="0"/>
                                <a:ea typeface="宋体" pitchFamily="2" charset="-122"/>
                                <a:cs typeface="+mn-cs"/>
                              </a:defRPr>
                            </a:lvl6pPr>
                            <a:lvl7pPr marL="2743200" algn="l" defTabSz="914400" rtl="0" eaLnBrk="1" latinLnBrk="0" hangingPunct="1">
                              <a:defRPr kern="1200">
                                <a:solidFill>
                                  <a:schemeClr val="tx1"/>
                                </a:solidFill>
                                <a:latin typeface="Arial" pitchFamily="34" charset="0"/>
                                <a:ea typeface="宋体" pitchFamily="2" charset="-122"/>
                                <a:cs typeface="+mn-cs"/>
                              </a:defRPr>
                            </a:lvl7pPr>
                            <a:lvl8pPr marL="3200400" algn="l" defTabSz="914400" rtl="0" eaLnBrk="1" latinLnBrk="0" hangingPunct="1">
                              <a:defRPr kern="1200">
                                <a:solidFill>
                                  <a:schemeClr val="tx1"/>
                                </a:solidFill>
                                <a:latin typeface="Arial" pitchFamily="34" charset="0"/>
                                <a:ea typeface="宋体" pitchFamily="2" charset="-122"/>
                                <a:cs typeface="+mn-cs"/>
                              </a:defRPr>
                            </a:lvl8pPr>
                            <a:lvl9pPr marL="3657600" algn="l" defTabSz="914400" rtl="0" eaLnBrk="1" latinLnBrk="0" hangingPunct="1">
                              <a:defRPr kern="1200">
                                <a:solidFill>
                                  <a:schemeClr val="tx1"/>
                                </a:solidFill>
                                <a:latin typeface="Arial" pitchFamily="34" charset="0"/>
                                <a:ea typeface="宋体" pitchFamily="2" charset="-122"/>
                                <a:cs typeface="+mn-cs"/>
                              </a:defRPr>
                            </a:lvl9pPr>
                          </a:lstStyle>
                          <a:p>
                            <a:endParaRPr lang="zh-CN" altLang="en-US"/>
                          </a:p>
                        </a:txBody>
                        <a:useSpRect/>
                      </a:txSp>
                    </a:sp>
                    <a:sp>
                      <a:nvSpPr>
                        <a:cNvPr id="18449" name="AutoShape 22"/>
                        <a:cNvSpPr>
                          <a:spLocks noChangeArrowheads="1"/>
                        </a:cNvSpPr>
                      </a:nvSpPr>
                      <a:spPr bwMode="auto">
                        <a:xfrm>
                          <a:off x="4468" y="2523"/>
                          <a:ext cx="1134" cy="408"/>
                        </a:xfrm>
                        <a:prstGeom prst="plaque">
                          <a:avLst>
                            <a:gd name="adj" fmla="val 16667"/>
                          </a:avLst>
                        </a:prstGeom>
                        <a:solidFill>
                          <a:srgbClr val="00FFFF"/>
                        </a:solidFill>
                        <a:ln w="9525" algn="ctr">
                          <a:solidFill>
                            <a:srgbClr val="FF0000"/>
                          </a:solidFill>
                          <a:miter lim="800000"/>
                          <a:headEnd/>
                          <a:tailEnd/>
                        </a:ln>
                      </a:spPr>
                      <a:txSp>
                        <a:txBody>
                          <a:bodyPr wrap="none" anchor="ctr"/>
                          <a:lstStyle>
                            <a:defPPr>
                              <a:defRPr lang="zh-CN"/>
                            </a:defPPr>
                            <a:lvl1pPr algn="l" rtl="0" fontAlgn="base">
                              <a:spcBef>
                                <a:spcPct val="0"/>
                              </a:spcBef>
                              <a:spcAft>
                                <a:spcPct val="0"/>
                              </a:spcAft>
                              <a:defRPr kern="1200">
                                <a:solidFill>
                                  <a:schemeClr val="tx1"/>
                                </a:solidFill>
                                <a:latin typeface="Arial" pitchFamily="34" charset="0"/>
                                <a:ea typeface="宋体" pitchFamily="2" charset="-122"/>
                                <a:cs typeface="+mn-cs"/>
                              </a:defRPr>
                            </a:lvl1pPr>
                            <a:lvl2pPr marL="457200" algn="l" rtl="0" fontAlgn="base">
                              <a:spcBef>
                                <a:spcPct val="0"/>
                              </a:spcBef>
                              <a:spcAft>
                                <a:spcPct val="0"/>
                              </a:spcAft>
                              <a:defRPr kern="1200">
                                <a:solidFill>
                                  <a:schemeClr val="tx1"/>
                                </a:solidFill>
                                <a:latin typeface="Arial" pitchFamily="34" charset="0"/>
                                <a:ea typeface="宋体" pitchFamily="2" charset="-122"/>
                                <a:cs typeface="+mn-cs"/>
                              </a:defRPr>
                            </a:lvl2pPr>
                            <a:lvl3pPr marL="914400" algn="l" rtl="0" fontAlgn="base">
                              <a:spcBef>
                                <a:spcPct val="0"/>
                              </a:spcBef>
                              <a:spcAft>
                                <a:spcPct val="0"/>
                              </a:spcAft>
                              <a:defRPr kern="1200">
                                <a:solidFill>
                                  <a:schemeClr val="tx1"/>
                                </a:solidFill>
                                <a:latin typeface="Arial" pitchFamily="34" charset="0"/>
                                <a:ea typeface="宋体" pitchFamily="2" charset="-122"/>
                                <a:cs typeface="+mn-cs"/>
                              </a:defRPr>
                            </a:lvl3pPr>
                            <a:lvl4pPr marL="1371600" algn="l" rtl="0" fontAlgn="base">
                              <a:spcBef>
                                <a:spcPct val="0"/>
                              </a:spcBef>
                              <a:spcAft>
                                <a:spcPct val="0"/>
                              </a:spcAft>
                              <a:defRPr kern="1200">
                                <a:solidFill>
                                  <a:schemeClr val="tx1"/>
                                </a:solidFill>
                                <a:latin typeface="Arial" pitchFamily="34" charset="0"/>
                                <a:ea typeface="宋体" pitchFamily="2" charset="-122"/>
                                <a:cs typeface="+mn-cs"/>
                              </a:defRPr>
                            </a:lvl4pPr>
                            <a:lvl5pPr marL="1828800" algn="l" rtl="0" fontAlgn="base">
                              <a:spcBef>
                                <a:spcPct val="0"/>
                              </a:spcBef>
                              <a:spcAft>
                                <a:spcPct val="0"/>
                              </a:spcAft>
                              <a:defRPr kern="1200">
                                <a:solidFill>
                                  <a:schemeClr val="tx1"/>
                                </a:solidFill>
                                <a:latin typeface="Arial" pitchFamily="34" charset="0"/>
                                <a:ea typeface="宋体" pitchFamily="2" charset="-122"/>
                                <a:cs typeface="+mn-cs"/>
                              </a:defRPr>
                            </a:lvl5pPr>
                            <a:lvl6pPr marL="2286000" algn="l" defTabSz="914400" rtl="0" eaLnBrk="1" latinLnBrk="0" hangingPunct="1">
                              <a:defRPr kern="1200">
                                <a:solidFill>
                                  <a:schemeClr val="tx1"/>
                                </a:solidFill>
                                <a:latin typeface="Arial" pitchFamily="34" charset="0"/>
                                <a:ea typeface="宋体" pitchFamily="2" charset="-122"/>
                                <a:cs typeface="+mn-cs"/>
                              </a:defRPr>
                            </a:lvl6pPr>
                            <a:lvl7pPr marL="2743200" algn="l" defTabSz="914400" rtl="0" eaLnBrk="1" latinLnBrk="0" hangingPunct="1">
                              <a:defRPr kern="1200">
                                <a:solidFill>
                                  <a:schemeClr val="tx1"/>
                                </a:solidFill>
                                <a:latin typeface="Arial" pitchFamily="34" charset="0"/>
                                <a:ea typeface="宋体" pitchFamily="2" charset="-122"/>
                                <a:cs typeface="+mn-cs"/>
                              </a:defRPr>
                            </a:lvl7pPr>
                            <a:lvl8pPr marL="3200400" algn="l" defTabSz="914400" rtl="0" eaLnBrk="1" latinLnBrk="0" hangingPunct="1">
                              <a:defRPr kern="1200">
                                <a:solidFill>
                                  <a:schemeClr val="tx1"/>
                                </a:solidFill>
                                <a:latin typeface="Arial" pitchFamily="34" charset="0"/>
                                <a:ea typeface="宋体" pitchFamily="2" charset="-122"/>
                                <a:cs typeface="+mn-cs"/>
                              </a:defRPr>
                            </a:lvl8pPr>
                            <a:lvl9pPr marL="3657600" algn="l" defTabSz="914400" rtl="0" eaLnBrk="1" latinLnBrk="0" hangingPunct="1">
                              <a:defRPr kern="1200">
                                <a:solidFill>
                                  <a:schemeClr val="tx1"/>
                                </a:solidFill>
                                <a:latin typeface="Arial" pitchFamily="34" charset="0"/>
                                <a:ea typeface="宋体" pitchFamily="2" charset="-122"/>
                                <a:cs typeface="+mn-cs"/>
                              </a:defRPr>
                            </a:lvl9pPr>
                          </a:lstStyle>
                          <a:p>
                            <a:endParaRPr lang="zh-CN" altLang="en-US"/>
                          </a:p>
                        </a:txBody>
                        <a:useSpRect/>
                      </a:txSp>
                    </a:sp>
                    <a:sp>
                      <a:nvSpPr>
                        <a:cNvPr id="18450" name="Text Box 23"/>
                        <a:cNvSpPr txBox="1">
                          <a:spLocks noChangeArrowheads="1"/>
                        </a:cNvSpPr>
                      </a:nvSpPr>
                      <a:spPr bwMode="auto">
                        <a:xfrm>
                          <a:off x="4468" y="2614"/>
                          <a:ext cx="1088" cy="222"/>
                        </a:xfrm>
                        <a:prstGeom prst="rect">
                          <a:avLst/>
                        </a:prstGeom>
                        <a:noFill/>
                        <a:ln w="9525">
                          <a:noFill/>
                          <a:miter lim="800000"/>
                          <a:headEnd/>
                          <a:tailEnd/>
                        </a:ln>
                      </a:spPr>
                      <a:txSp>
                        <a:txBody>
                          <a:bodyPr>
                            <a:spAutoFit/>
                          </a:bodyPr>
                          <a:lstStyle>
                            <a:defPPr>
                              <a:defRPr lang="zh-CN"/>
                            </a:defPPr>
                            <a:lvl1pPr algn="l" rtl="0" fontAlgn="base">
                              <a:spcBef>
                                <a:spcPct val="0"/>
                              </a:spcBef>
                              <a:spcAft>
                                <a:spcPct val="0"/>
                              </a:spcAft>
                              <a:defRPr kern="1200">
                                <a:solidFill>
                                  <a:schemeClr val="tx1"/>
                                </a:solidFill>
                                <a:latin typeface="Arial" pitchFamily="34" charset="0"/>
                                <a:ea typeface="宋体" pitchFamily="2" charset="-122"/>
                                <a:cs typeface="+mn-cs"/>
                              </a:defRPr>
                            </a:lvl1pPr>
                            <a:lvl2pPr marL="457200" algn="l" rtl="0" fontAlgn="base">
                              <a:spcBef>
                                <a:spcPct val="0"/>
                              </a:spcBef>
                              <a:spcAft>
                                <a:spcPct val="0"/>
                              </a:spcAft>
                              <a:defRPr kern="1200">
                                <a:solidFill>
                                  <a:schemeClr val="tx1"/>
                                </a:solidFill>
                                <a:latin typeface="Arial" pitchFamily="34" charset="0"/>
                                <a:ea typeface="宋体" pitchFamily="2" charset="-122"/>
                                <a:cs typeface="+mn-cs"/>
                              </a:defRPr>
                            </a:lvl2pPr>
                            <a:lvl3pPr marL="914400" algn="l" rtl="0" fontAlgn="base">
                              <a:spcBef>
                                <a:spcPct val="0"/>
                              </a:spcBef>
                              <a:spcAft>
                                <a:spcPct val="0"/>
                              </a:spcAft>
                              <a:defRPr kern="1200">
                                <a:solidFill>
                                  <a:schemeClr val="tx1"/>
                                </a:solidFill>
                                <a:latin typeface="Arial" pitchFamily="34" charset="0"/>
                                <a:ea typeface="宋体" pitchFamily="2" charset="-122"/>
                                <a:cs typeface="+mn-cs"/>
                              </a:defRPr>
                            </a:lvl3pPr>
                            <a:lvl4pPr marL="1371600" algn="l" rtl="0" fontAlgn="base">
                              <a:spcBef>
                                <a:spcPct val="0"/>
                              </a:spcBef>
                              <a:spcAft>
                                <a:spcPct val="0"/>
                              </a:spcAft>
                              <a:defRPr kern="1200">
                                <a:solidFill>
                                  <a:schemeClr val="tx1"/>
                                </a:solidFill>
                                <a:latin typeface="Arial" pitchFamily="34" charset="0"/>
                                <a:ea typeface="宋体" pitchFamily="2" charset="-122"/>
                                <a:cs typeface="+mn-cs"/>
                              </a:defRPr>
                            </a:lvl4pPr>
                            <a:lvl5pPr marL="1828800" algn="l" rtl="0" fontAlgn="base">
                              <a:spcBef>
                                <a:spcPct val="0"/>
                              </a:spcBef>
                              <a:spcAft>
                                <a:spcPct val="0"/>
                              </a:spcAft>
                              <a:defRPr kern="1200">
                                <a:solidFill>
                                  <a:schemeClr val="tx1"/>
                                </a:solidFill>
                                <a:latin typeface="Arial" pitchFamily="34" charset="0"/>
                                <a:ea typeface="宋体" pitchFamily="2" charset="-122"/>
                                <a:cs typeface="+mn-cs"/>
                              </a:defRPr>
                            </a:lvl5pPr>
                            <a:lvl6pPr marL="2286000" algn="l" defTabSz="914400" rtl="0" eaLnBrk="1" latinLnBrk="0" hangingPunct="1">
                              <a:defRPr kern="1200">
                                <a:solidFill>
                                  <a:schemeClr val="tx1"/>
                                </a:solidFill>
                                <a:latin typeface="Arial" pitchFamily="34" charset="0"/>
                                <a:ea typeface="宋体" pitchFamily="2" charset="-122"/>
                                <a:cs typeface="+mn-cs"/>
                              </a:defRPr>
                            </a:lvl6pPr>
                            <a:lvl7pPr marL="2743200" algn="l" defTabSz="914400" rtl="0" eaLnBrk="1" latinLnBrk="0" hangingPunct="1">
                              <a:defRPr kern="1200">
                                <a:solidFill>
                                  <a:schemeClr val="tx1"/>
                                </a:solidFill>
                                <a:latin typeface="Arial" pitchFamily="34" charset="0"/>
                                <a:ea typeface="宋体" pitchFamily="2" charset="-122"/>
                                <a:cs typeface="+mn-cs"/>
                              </a:defRPr>
                            </a:lvl7pPr>
                            <a:lvl8pPr marL="3200400" algn="l" defTabSz="914400" rtl="0" eaLnBrk="1" latinLnBrk="0" hangingPunct="1">
                              <a:defRPr kern="1200">
                                <a:solidFill>
                                  <a:schemeClr val="tx1"/>
                                </a:solidFill>
                                <a:latin typeface="Arial" pitchFamily="34" charset="0"/>
                                <a:ea typeface="宋体" pitchFamily="2" charset="-122"/>
                                <a:cs typeface="+mn-cs"/>
                              </a:defRPr>
                            </a:lvl8pPr>
                            <a:lvl9pPr marL="3657600" algn="l" defTabSz="914400" rtl="0" eaLnBrk="1" latinLnBrk="0" hangingPunct="1">
                              <a:defRPr kern="1200">
                                <a:solidFill>
                                  <a:schemeClr val="tx1"/>
                                </a:solidFill>
                                <a:latin typeface="Arial" pitchFamily="34" charset="0"/>
                                <a:ea typeface="宋体" pitchFamily="2" charset="-122"/>
                                <a:cs typeface="+mn-cs"/>
                              </a:defRPr>
                            </a:lvl9pPr>
                          </a:lstStyle>
                          <a:p>
                            <a:pPr>
                              <a:lnSpc>
                                <a:spcPct val="95000"/>
                              </a:lnSpc>
                            </a:pPr>
                            <a:r>
                              <a:rPr lang="en-US" altLang="zh-CN" b="1" i="1">
                                <a:latin typeface="Times New Roman" pitchFamily="18" charset="0"/>
                              </a:rPr>
                              <a:t>W</a:t>
                            </a:r>
                            <a:r>
                              <a:rPr lang="en-US" altLang="zh-CN" b="1" i="1" baseline="-25000">
                                <a:latin typeface="Times New Roman" pitchFamily="18" charset="0"/>
                              </a:rPr>
                              <a:t>G12</a:t>
                            </a:r>
                            <a:r>
                              <a:rPr lang="zh-CN" altLang="en-US" b="1">
                                <a:latin typeface="Times New Roman" pitchFamily="18" charset="0"/>
                              </a:rPr>
                              <a:t>＝</a:t>
                            </a:r>
                            <a:r>
                              <a:rPr lang="en-US" altLang="zh-CN" b="1" i="1">
                                <a:latin typeface="Times New Roman" pitchFamily="18" charset="0"/>
                              </a:rPr>
                              <a:t>E</a:t>
                            </a:r>
                            <a:r>
                              <a:rPr lang="en-US" altLang="zh-CN" b="1" i="1" baseline="-25000">
                                <a:latin typeface="Times New Roman" pitchFamily="18" charset="0"/>
                              </a:rPr>
                              <a:t>p1</a:t>
                            </a:r>
                            <a:r>
                              <a:rPr lang="zh-CN" altLang="en-US" b="1" i="1">
                                <a:latin typeface="Times New Roman" pitchFamily="18" charset="0"/>
                              </a:rPr>
                              <a:t>－</a:t>
                            </a:r>
                            <a:r>
                              <a:rPr lang="en-US" altLang="zh-CN" b="1" i="1">
                                <a:latin typeface="Times New Roman" pitchFamily="18" charset="0"/>
                              </a:rPr>
                              <a:t>E</a:t>
                            </a:r>
                            <a:r>
                              <a:rPr lang="en-US" altLang="zh-CN" b="1" i="1" baseline="-25000">
                                <a:latin typeface="Times New Roman" pitchFamily="18" charset="0"/>
                              </a:rPr>
                              <a:t>p2</a:t>
                            </a:r>
                          </a:p>
                        </a:txBody>
                        <a:useSpRect/>
                      </a:txSp>
                    </a:sp>
                  </a:grpSp>
                  <a:grpSp>
                    <a:nvGrpSpPr>
                      <a:cNvPr id="8" name="Group 24"/>
                      <a:cNvGrpSpPr>
                        <a:grpSpLocks/>
                      </a:cNvGrpSpPr>
                    </a:nvGrpSpPr>
                    <a:grpSpPr bwMode="auto">
                      <a:xfrm>
                        <a:off x="3779838" y="1052513"/>
                        <a:ext cx="5040312" cy="1728787"/>
                        <a:chOff x="2381" y="663"/>
                        <a:chExt cx="3175" cy="1089"/>
                      </a:xfrm>
                    </a:grpSpPr>
                    <a:sp>
                      <a:nvSpPr>
                        <a:cNvPr id="18442" name="AutoShape 25"/>
                        <a:cNvSpPr>
                          <a:spLocks noChangeArrowheads="1"/>
                        </a:cNvSpPr>
                      </a:nvSpPr>
                      <a:spPr bwMode="auto">
                        <a:xfrm flipH="1">
                          <a:off x="2381" y="663"/>
                          <a:ext cx="3175" cy="1089"/>
                        </a:xfrm>
                        <a:prstGeom prst="wedgeRectCallout">
                          <a:avLst>
                            <a:gd name="adj1" fmla="val 94565"/>
                            <a:gd name="adj2" fmla="val 93708"/>
                          </a:avLst>
                        </a:prstGeom>
                        <a:solidFill>
                          <a:srgbClr val="CCFFCC"/>
                        </a:solidFill>
                        <a:ln w="28575">
                          <a:solidFill>
                            <a:srgbClr val="0000FF"/>
                          </a:solidFill>
                          <a:miter lim="800000"/>
                          <a:headEnd/>
                          <a:tailEnd/>
                        </a:ln>
                      </a:spPr>
                      <a:txSp>
                        <a:txBody>
                          <a:bodyPr/>
                          <a:lstStyle>
                            <a:defPPr>
                              <a:defRPr lang="zh-CN"/>
                            </a:defPPr>
                            <a:lvl1pPr algn="l" rtl="0" fontAlgn="base">
                              <a:spcBef>
                                <a:spcPct val="0"/>
                              </a:spcBef>
                              <a:spcAft>
                                <a:spcPct val="0"/>
                              </a:spcAft>
                              <a:defRPr kern="1200">
                                <a:solidFill>
                                  <a:schemeClr val="tx1"/>
                                </a:solidFill>
                                <a:latin typeface="Arial" pitchFamily="34" charset="0"/>
                                <a:ea typeface="宋体" pitchFamily="2" charset="-122"/>
                                <a:cs typeface="+mn-cs"/>
                              </a:defRPr>
                            </a:lvl1pPr>
                            <a:lvl2pPr marL="457200" algn="l" rtl="0" fontAlgn="base">
                              <a:spcBef>
                                <a:spcPct val="0"/>
                              </a:spcBef>
                              <a:spcAft>
                                <a:spcPct val="0"/>
                              </a:spcAft>
                              <a:defRPr kern="1200">
                                <a:solidFill>
                                  <a:schemeClr val="tx1"/>
                                </a:solidFill>
                                <a:latin typeface="Arial" pitchFamily="34" charset="0"/>
                                <a:ea typeface="宋体" pitchFamily="2" charset="-122"/>
                                <a:cs typeface="+mn-cs"/>
                              </a:defRPr>
                            </a:lvl2pPr>
                            <a:lvl3pPr marL="914400" algn="l" rtl="0" fontAlgn="base">
                              <a:spcBef>
                                <a:spcPct val="0"/>
                              </a:spcBef>
                              <a:spcAft>
                                <a:spcPct val="0"/>
                              </a:spcAft>
                              <a:defRPr kern="1200">
                                <a:solidFill>
                                  <a:schemeClr val="tx1"/>
                                </a:solidFill>
                                <a:latin typeface="Arial" pitchFamily="34" charset="0"/>
                                <a:ea typeface="宋体" pitchFamily="2" charset="-122"/>
                                <a:cs typeface="+mn-cs"/>
                              </a:defRPr>
                            </a:lvl3pPr>
                            <a:lvl4pPr marL="1371600" algn="l" rtl="0" fontAlgn="base">
                              <a:spcBef>
                                <a:spcPct val="0"/>
                              </a:spcBef>
                              <a:spcAft>
                                <a:spcPct val="0"/>
                              </a:spcAft>
                              <a:defRPr kern="1200">
                                <a:solidFill>
                                  <a:schemeClr val="tx1"/>
                                </a:solidFill>
                                <a:latin typeface="Arial" pitchFamily="34" charset="0"/>
                                <a:ea typeface="宋体" pitchFamily="2" charset="-122"/>
                                <a:cs typeface="+mn-cs"/>
                              </a:defRPr>
                            </a:lvl4pPr>
                            <a:lvl5pPr marL="1828800" algn="l" rtl="0" fontAlgn="base">
                              <a:spcBef>
                                <a:spcPct val="0"/>
                              </a:spcBef>
                              <a:spcAft>
                                <a:spcPct val="0"/>
                              </a:spcAft>
                              <a:defRPr kern="1200">
                                <a:solidFill>
                                  <a:schemeClr val="tx1"/>
                                </a:solidFill>
                                <a:latin typeface="Arial" pitchFamily="34" charset="0"/>
                                <a:ea typeface="宋体" pitchFamily="2" charset="-122"/>
                                <a:cs typeface="+mn-cs"/>
                              </a:defRPr>
                            </a:lvl5pPr>
                            <a:lvl6pPr marL="2286000" algn="l" defTabSz="914400" rtl="0" eaLnBrk="1" latinLnBrk="0" hangingPunct="1">
                              <a:defRPr kern="1200">
                                <a:solidFill>
                                  <a:schemeClr val="tx1"/>
                                </a:solidFill>
                                <a:latin typeface="Arial" pitchFamily="34" charset="0"/>
                                <a:ea typeface="宋体" pitchFamily="2" charset="-122"/>
                                <a:cs typeface="+mn-cs"/>
                              </a:defRPr>
                            </a:lvl6pPr>
                            <a:lvl7pPr marL="2743200" algn="l" defTabSz="914400" rtl="0" eaLnBrk="1" latinLnBrk="0" hangingPunct="1">
                              <a:defRPr kern="1200">
                                <a:solidFill>
                                  <a:schemeClr val="tx1"/>
                                </a:solidFill>
                                <a:latin typeface="Arial" pitchFamily="34" charset="0"/>
                                <a:ea typeface="宋体" pitchFamily="2" charset="-122"/>
                                <a:cs typeface="+mn-cs"/>
                              </a:defRPr>
                            </a:lvl7pPr>
                            <a:lvl8pPr marL="3200400" algn="l" defTabSz="914400" rtl="0" eaLnBrk="1" latinLnBrk="0" hangingPunct="1">
                              <a:defRPr kern="1200">
                                <a:solidFill>
                                  <a:schemeClr val="tx1"/>
                                </a:solidFill>
                                <a:latin typeface="Arial" pitchFamily="34" charset="0"/>
                                <a:ea typeface="宋体" pitchFamily="2" charset="-122"/>
                                <a:cs typeface="+mn-cs"/>
                              </a:defRPr>
                            </a:lvl8pPr>
                            <a:lvl9pPr marL="3657600" algn="l" defTabSz="914400" rtl="0" eaLnBrk="1" latinLnBrk="0" hangingPunct="1">
                              <a:defRPr kern="1200">
                                <a:solidFill>
                                  <a:schemeClr val="tx1"/>
                                </a:solidFill>
                                <a:latin typeface="Arial" pitchFamily="34" charset="0"/>
                                <a:ea typeface="宋体" pitchFamily="2" charset="-122"/>
                                <a:cs typeface="+mn-cs"/>
                              </a:defRPr>
                            </a:lvl9pPr>
                          </a:lstStyle>
                          <a:p>
                            <a:pPr algn="ctr"/>
                            <a:endParaRPr lang="zh-CN" altLang="zh-CN" b="1">
                              <a:solidFill>
                                <a:srgbClr val="FF3300"/>
                              </a:solidFill>
                            </a:endParaRPr>
                          </a:p>
                        </a:txBody>
                        <a:useSpRect/>
                      </a:txSp>
                    </a:sp>
                    <a:sp>
                      <a:nvSpPr>
                        <a:cNvPr id="18443" name="AutoShape 26"/>
                        <a:cNvSpPr>
                          <a:spLocks noChangeArrowheads="1"/>
                        </a:cNvSpPr>
                      </a:nvSpPr>
                      <a:spPr bwMode="auto">
                        <a:xfrm>
                          <a:off x="4377" y="1117"/>
                          <a:ext cx="136" cy="227"/>
                        </a:xfrm>
                        <a:prstGeom prst="notchedRightArrow">
                          <a:avLst>
                            <a:gd name="adj1" fmla="val 50000"/>
                            <a:gd name="adj2" fmla="val 25000"/>
                          </a:avLst>
                        </a:prstGeom>
                        <a:solidFill>
                          <a:srgbClr val="FF6600"/>
                        </a:solidFill>
                        <a:ln w="9525" algn="ctr">
                          <a:solidFill>
                            <a:schemeClr val="tx1"/>
                          </a:solidFill>
                          <a:miter lim="800000"/>
                          <a:headEnd/>
                          <a:tailEnd/>
                        </a:ln>
                      </a:spPr>
                      <a:txSp>
                        <a:txBody>
                          <a:bodyPr wrap="none" anchor="ctr"/>
                          <a:lstStyle>
                            <a:defPPr>
                              <a:defRPr lang="zh-CN"/>
                            </a:defPPr>
                            <a:lvl1pPr algn="l" rtl="0" fontAlgn="base">
                              <a:spcBef>
                                <a:spcPct val="0"/>
                              </a:spcBef>
                              <a:spcAft>
                                <a:spcPct val="0"/>
                              </a:spcAft>
                              <a:defRPr kern="1200">
                                <a:solidFill>
                                  <a:schemeClr val="tx1"/>
                                </a:solidFill>
                                <a:latin typeface="Arial" pitchFamily="34" charset="0"/>
                                <a:ea typeface="宋体" pitchFamily="2" charset="-122"/>
                                <a:cs typeface="+mn-cs"/>
                              </a:defRPr>
                            </a:lvl1pPr>
                            <a:lvl2pPr marL="457200" algn="l" rtl="0" fontAlgn="base">
                              <a:spcBef>
                                <a:spcPct val="0"/>
                              </a:spcBef>
                              <a:spcAft>
                                <a:spcPct val="0"/>
                              </a:spcAft>
                              <a:defRPr kern="1200">
                                <a:solidFill>
                                  <a:schemeClr val="tx1"/>
                                </a:solidFill>
                                <a:latin typeface="Arial" pitchFamily="34" charset="0"/>
                                <a:ea typeface="宋体" pitchFamily="2" charset="-122"/>
                                <a:cs typeface="+mn-cs"/>
                              </a:defRPr>
                            </a:lvl2pPr>
                            <a:lvl3pPr marL="914400" algn="l" rtl="0" fontAlgn="base">
                              <a:spcBef>
                                <a:spcPct val="0"/>
                              </a:spcBef>
                              <a:spcAft>
                                <a:spcPct val="0"/>
                              </a:spcAft>
                              <a:defRPr kern="1200">
                                <a:solidFill>
                                  <a:schemeClr val="tx1"/>
                                </a:solidFill>
                                <a:latin typeface="Arial" pitchFamily="34" charset="0"/>
                                <a:ea typeface="宋体" pitchFamily="2" charset="-122"/>
                                <a:cs typeface="+mn-cs"/>
                              </a:defRPr>
                            </a:lvl3pPr>
                            <a:lvl4pPr marL="1371600" algn="l" rtl="0" fontAlgn="base">
                              <a:spcBef>
                                <a:spcPct val="0"/>
                              </a:spcBef>
                              <a:spcAft>
                                <a:spcPct val="0"/>
                              </a:spcAft>
                              <a:defRPr kern="1200">
                                <a:solidFill>
                                  <a:schemeClr val="tx1"/>
                                </a:solidFill>
                                <a:latin typeface="Arial" pitchFamily="34" charset="0"/>
                                <a:ea typeface="宋体" pitchFamily="2" charset="-122"/>
                                <a:cs typeface="+mn-cs"/>
                              </a:defRPr>
                            </a:lvl4pPr>
                            <a:lvl5pPr marL="1828800" algn="l" rtl="0" fontAlgn="base">
                              <a:spcBef>
                                <a:spcPct val="0"/>
                              </a:spcBef>
                              <a:spcAft>
                                <a:spcPct val="0"/>
                              </a:spcAft>
                              <a:defRPr kern="1200">
                                <a:solidFill>
                                  <a:schemeClr val="tx1"/>
                                </a:solidFill>
                                <a:latin typeface="Arial" pitchFamily="34" charset="0"/>
                                <a:ea typeface="宋体" pitchFamily="2" charset="-122"/>
                                <a:cs typeface="+mn-cs"/>
                              </a:defRPr>
                            </a:lvl5pPr>
                            <a:lvl6pPr marL="2286000" algn="l" defTabSz="914400" rtl="0" eaLnBrk="1" latinLnBrk="0" hangingPunct="1">
                              <a:defRPr kern="1200">
                                <a:solidFill>
                                  <a:schemeClr val="tx1"/>
                                </a:solidFill>
                                <a:latin typeface="Arial" pitchFamily="34" charset="0"/>
                                <a:ea typeface="宋体" pitchFamily="2" charset="-122"/>
                                <a:cs typeface="+mn-cs"/>
                              </a:defRPr>
                            </a:lvl6pPr>
                            <a:lvl7pPr marL="2743200" algn="l" defTabSz="914400" rtl="0" eaLnBrk="1" latinLnBrk="0" hangingPunct="1">
                              <a:defRPr kern="1200">
                                <a:solidFill>
                                  <a:schemeClr val="tx1"/>
                                </a:solidFill>
                                <a:latin typeface="Arial" pitchFamily="34" charset="0"/>
                                <a:ea typeface="宋体" pitchFamily="2" charset="-122"/>
                                <a:cs typeface="+mn-cs"/>
                              </a:defRPr>
                            </a:lvl7pPr>
                            <a:lvl8pPr marL="3200400" algn="l" defTabSz="914400" rtl="0" eaLnBrk="1" latinLnBrk="0" hangingPunct="1">
                              <a:defRPr kern="1200">
                                <a:solidFill>
                                  <a:schemeClr val="tx1"/>
                                </a:solidFill>
                                <a:latin typeface="Arial" pitchFamily="34" charset="0"/>
                                <a:ea typeface="宋体" pitchFamily="2" charset="-122"/>
                                <a:cs typeface="+mn-cs"/>
                              </a:defRPr>
                            </a:lvl8pPr>
                            <a:lvl9pPr marL="3657600" algn="l" defTabSz="914400" rtl="0" eaLnBrk="1" latinLnBrk="0" hangingPunct="1">
                              <a:defRPr kern="1200">
                                <a:solidFill>
                                  <a:schemeClr val="tx1"/>
                                </a:solidFill>
                                <a:latin typeface="Arial" pitchFamily="34" charset="0"/>
                                <a:ea typeface="宋体" pitchFamily="2" charset="-122"/>
                                <a:cs typeface="+mn-cs"/>
                              </a:defRPr>
                            </a:lvl9pPr>
                          </a:lstStyle>
                          <a:p>
                            <a:endParaRPr lang="zh-CN" altLang="en-US"/>
                          </a:p>
                        </a:txBody>
                        <a:useSpRect/>
                      </a:txSp>
                    </a:sp>
                    <a:pic>
                      <a:nvPicPr>
                        <a:cNvPr id="18444" name="Picture 27"/>
                        <a:cNvPicPr>
                          <a:picLocks noChangeAspect="1" noChangeArrowheads="1"/>
                        </a:cNvPicPr>
                      </a:nvPicPr>
                      <a:blipFill>
                        <a:blip r:embed="rId7"/>
                        <a:srcRect/>
                        <a:stretch>
                          <a:fillRect/>
                        </a:stretch>
                      </a:blipFill>
                      <a:spPr bwMode="auto">
                        <a:xfrm>
                          <a:off x="2472" y="709"/>
                          <a:ext cx="524" cy="997"/>
                        </a:xfrm>
                        <a:prstGeom prst="rect">
                          <a:avLst/>
                        </a:prstGeom>
                        <a:noFill/>
                        <a:ln w="9525">
                          <a:noFill/>
                          <a:miter lim="800000"/>
                          <a:headEnd/>
                          <a:tailEnd/>
                        </a:ln>
                      </a:spPr>
                    </a:pic>
                    <a:pic>
                      <a:nvPicPr>
                        <a:cNvPr id="18445" name="Picture 28"/>
                        <a:cNvPicPr>
                          <a:picLocks noChangeAspect="1" noChangeArrowheads="1"/>
                        </a:cNvPicPr>
                      </a:nvPicPr>
                      <a:blipFill>
                        <a:blip r:embed="rId8"/>
                        <a:srcRect/>
                        <a:stretch>
                          <a:fillRect/>
                        </a:stretch>
                      </a:blipFill>
                      <a:spPr bwMode="auto">
                        <a:xfrm>
                          <a:off x="3243" y="754"/>
                          <a:ext cx="1088" cy="940"/>
                        </a:xfrm>
                        <a:prstGeom prst="rect">
                          <a:avLst/>
                        </a:prstGeom>
                        <a:noFill/>
                        <a:ln w="9525">
                          <a:noFill/>
                          <a:miter lim="800000"/>
                          <a:headEnd/>
                          <a:tailEnd/>
                        </a:ln>
                      </a:spPr>
                    </a:pic>
                    <a:sp>
                      <a:nvSpPr>
                        <a:cNvPr id="18446" name="AutoShape 29"/>
                        <a:cNvSpPr>
                          <a:spLocks noChangeArrowheads="1"/>
                        </a:cNvSpPr>
                      </a:nvSpPr>
                      <a:spPr bwMode="auto">
                        <a:xfrm>
                          <a:off x="3061" y="1117"/>
                          <a:ext cx="136" cy="227"/>
                        </a:xfrm>
                        <a:prstGeom prst="notchedRightArrow">
                          <a:avLst>
                            <a:gd name="adj1" fmla="val 50000"/>
                            <a:gd name="adj2" fmla="val 25000"/>
                          </a:avLst>
                        </a:prstGeom>
                        <a:solidFill>
                          <a:srgbClr val="FF6600"/>
                        </a:solidFill>
                        <a:ln w="9525" algn="ctr">
                          <a:solidFill>
                            <a:schemeClr val="tx1"/>
                          </a:solidFill>
                          <a:miter lim="800000"/>
                          <a:headEnd/>
                          <a:tailEnd/>
                        </a:ln>
                      </a:spPr>
                      <a:txSp>
                        <a:txBody>
                          <a:bodyPr wrap="none" anchor="ctr"/>
                          <a:lstStyle>
                            <a:defPPr>
                              <a:defRPr lang="zh-CN"/>
                            </a:defPPr>
                            <a:lvl1pPr algn="l" rtl="0" fontAlgn="base">
                              <a:spcBef>
                                <a:spcPct val="0"/>
                              </a:spcBef>
                              <a:spcAft>
                                <a:spcPct val="0"/>
                              </a:spcAft>
                              <a:defRPr kern="1200">
                                <a:solidFill>
                                  <a:schemeClr val="tx1"/>
                                </a:solidFill>
                                <a:latin typeface="Arial" pitchFamily="34" charset="0"/>
                                <a:ea typeface="宋体" pitchFamily="2" charset="-122"/>
                                <a:cs typeface="+mn-cs"/>
                              </a:defRPr>
                            </a:lvl1pPr>
                            <a:lvl2pPr marL="457200" algn="l" rtl="0" fontAlgn="base">
                              <a:spcBef>
                                <a:spcPct val="0"/>
                              </a:spcBef>
                              <a:spcAft>
                                <a:spcPct val="0"/>
                              </a:spcAft>
                              <a:defRPr kern="1200">
                                <a:solidFill>
                                  <a:schemeClr val="tx1"/>
                                </a:solidFill>
                                <a:latin typeface="Arial" pitchFamily="34" charset="0"/>
                                <a:ea typeface="宋体" pitchFamily="2" charset="-122"/>
                                <a:cs typeface="+mn-cs"/>
                              </a:defRPr>
                            </a:lvl2pPr>
                            <a:lvl3pPr marL="914400" algn="l" rtl="0" fontAlgn="base">
                              <a:spcBef>
                                <a:spcPct val="0"/>
                              </a:spcBef>
                              <a:spcAft>
                                <a:spcPct val="0"/>
                              </a:spcAft>
                              <a:defRPr kern="1200">
                                <a:solidFill>
                                  <a:schemeClr val="tx1"/>
                                </a:solidFill>
                                <a:latin typeface="Arial" pitchFamily="34" charset="0"/>
                                <a:ea typeface="宋体" pitchFamily="2" charset="-122"/>
                                <a:cs typeface="+mn-cs"/>
                              </a:defRPr>
                            </a:lvl3pPr>
                            <a:lvl4pPr marL="1371600" algn="l" rtl="0" fontAlgn="base">
                              <a:spcBef>
                                <a:spcPct val="0"/>
                              </a:spcBef>
                              <a:spcAft>
                                <a:spcPct val="0"/>
                              </a:spcAft>
                              <a:defRPr kern="1200">
                                <a:solidFill>
                                  <a:schemeClr val="tx1"/>
                                </a:solidFill>
                                <a:latin typeface="Arial" pitchFamily="34" charset="0"/>
                                <a:ea typeface="宋体" pitchFamily="2" charset="-122"/>
                                <a:cs typeface="+mn-cs"/>
                              </a:defRPr>
                            </a:lvl4pPr>
                            <a:lvl5pPr marL="1828800" algn="l" rtl="0" fontAlgn="base">
                              <a:spcBef>
                                <a:spcPct val="0"/>
                              </a:spcBef>
                              <a:spcAft>
                                <a:spcPct val="0"/>
                              </a:spcAft>
                              <a:defRPr kern="1200">
                                <a:solidFill>
                                  <a:schemeClr val="tx1"/>
                                </a:solidFill>
                                <a:latin typeface="Arial" pitchFamily="34" charset="0"/>
                                <a:ea typeface="宋体" pitchFamily="2" charset="-122"/>
                                <a:cs typeface="+mn-cs"/>
                              </a:defRPr>
                            </a:lvl5pPr>
                            <a:lvl6pPr marL="2286000" algn="l" defTabSz="914400" rtl="0" eaLnBrk="1" latinLnBrk="0" hangingPunct="1">
                              <a:defRPr kern="1200">
                                <a:solidFill>
                                  <a:schemeClr val="tx1"/>
                                </a:solidFill>
                                <a:latin typeface="Arial" pitchFamily="34" charset="0"/>
                                <a:ea typeface="宋体" pitchFamily="2" charset="-122"/>
                                <a:cs typeface="+mn-cs"/>
                              </a:defRPr>
                            </a:lvl6pPr>
                            <a:lvl7pPr marL="2743200" algn="l" defTabSz="914400" rtl="0" eaLnBrk="1" latinLnBrk="0" hangingPunct="1">
                              <a:defRPr kern="1200">
                                <a:solidFill>
                                  <a:schemeClr val="tx1"/>
                                </a:solidFill>
                                <a:latin typeface="Arial" pitchFamily="34" charset="0"/>
                                <a:ea typeface="宋体" pitchFamily="2" charset="-122"/>
                                <a:cs typeface="+mn-cs"/>
                              </a:defRPr>
                            </a:lvl7pPr>
                            <a:lvl8pPr marL="3200400" algn="l" defTabSz="914400" rtl="0" eaLnBrk="1" latinLnBrk="0" hangingPunct="1">
                              <a:defRPr kern="1200">
                                <a:solidFill>
                                  <a:schemeClr val="tx1"/>
                                </a:solidFill>
                                <a:latin typeface="Arial" pitchFamily="34" charset="0"/>
                                <a:ea typeface="宋体" pitchFamily="2" charset="-122"/>
                                <a:cs typeface="+mn-cs"/>
                              </a:defRPr>
                            </a:lvl8pPr>
                            <a:lvl9pPr marL="3657600" algn="l" defTabSz="914400" rtl="0" eaLnBrk="1" latinLnBrk="0" hangingPunct="1">
                              <a:defRPr kern="1200">
                                <a:solidFill>
                                  <a:schemeClr val="tx1"/>
                                </a:solidFill>
                                <a:latin typeface="Arial" pitchFamily="34" charset="0"/>
                                <a:ea typeface="宋体" pitchFamily="2" charset="-122"/>
                                <a:cs typeface="+mn-cs"/>
                              </a:defRPr>
                            </a:lvl9pPr>
                          </a:lstStyle>
                          <a:p>
                            <a:endParaRPr lang="zh-CN" altLang="en-US"/>
                          </a:p>
                        </a:txBody>
                        <a:useSpRect/>
                      </a:txSp>
                    </a:sp>
                    <a:pic>
                      <a:nvPicPr>
                        <a:cNvPr id="18447" name="Picture 30"/>
                        <a:cNvPicPr>
                          <a:picLocks noChangeAspect="1" noChangeArrowheads="1"/>
                        </a:cNvPicPr>
                      </a:nvPicPr>
                      <a:blipFill>
                        <a:blip r:embed="rId9"/>
                        <a:srcRect/>
                        <a:stretch>
                          <a:fillRect/>
                        </a:stretch>
                      </a:blipFill>
                      <a:spPr bwMode="auto">
                        <a:xfrm>
                          <a:off x="4513" y="754"/>
                          <a:ext cx="998" cy="899"/>
                        </a:xfrm>
                        <a:prstGeom prst="rect">
                          <a:avLst/>
                        </a:prstGeom>
                        <a:noFill/>
                        <a:ln w="9525">
                          <a:noFill/>
                          <a:miter lim="800000"/>
                          <a:headEnd/>
                          <a:tailEnd/>
                        </a:ln>
                      </a:spPr>
                    </a:pic>
                  </a:grpSp>
                </lc:lockedCanvas>
              </a:graphicData>
            </a:graphic>
          </wp:inline>
        </w:drawing>
      </w:r>
    </w:p>
    <w:p w:rsidR="00D97EBB" w:rsidRDefault="00D97EBB" w:rsidP="00FC5D1E">
      <w:pPr>
        <w:ind w:firstLineChars="200" w:firstLine="480"/>
        <w:rPr>
          <w:rFonts w:hint="eastAsia"/>
          <w:sz w:val="24"/>
        </w:rPr>
      </w:pPr>
    </w:p>
    <w:p w:rsidR="00D97EBB" w:rsidRDefault="00D97EBB" w:rsidP="00FC5D1E">
      <w:pPr>
        <w:ind w:firstLineChars="200" w:firstLine="480"/>
        <w:rPr>
          <w:rFonts w:hint="eastAsia"/>
          <w:sz w:val="24"/>
        </w:rPr>
      </w:pPr>
    </w:p>
    <w:p w:rsidR="00D97EBB" w:rsidRDefault="00D97EBB" w:rsidP="00FC5D1E">
      <w:pPr>
        <w:ind w:firstLineChars="200" w:firstLine="480"/>
        <w:rPr>
          <w:rFonts w:hint="eastAsia"/>
          <w:sz w:val="24"/>
        </w:rPr>
      </w:pPr>
    </w:p>
    <w:p w:rsidR="002F03DE" w:rsidRDefault="002F03DE" w:rsidP="00FC5D1E">
      <w:pPr>
        <w:ind w:firstLineChars="200" w:firstLine="480"/>
        <w:rPr>
          <w:rFonts w:hint="eastAsia"/>
          <w:sz w:val="24"/>
        </w:rPr>
      </w:pPr>
    </w:p>
    <w:p w:rsidR="002F03DE" w:rsidRDefault="002F03DE" w:rsidP="00FC5D1E">
      <w:pPr>
        <w:ind w:firstLineChars="200" w:firstLine="480"/>
        <w:rPr>
          <w:rFonts w:hint="eastAsia"/>
          <w:sz w:val="24"/>
        </w:rPr>
      </w:pPr>
    </w:p>
    <w:p w:rsidR="002F03DE" w:rsidRDefault="002F03DE" w:rsidP="00FC5D1E">
      <w:pPr>
        <w:ind w:firstLineChars="200" w:firstLine="480"/>
        <w:rPr>
          <w:rFonts w:hint="eastAsia"/>
          <w:sz w:val="24"/>
        </w:rPr>
      </w:pPr>
    </w:p>
    <w:p w:rsidR="00D97EBB" w:rsidRDefault="00D97EBB" w:rsidP="00FC5D1E">
      <w:pPr>
        <w:ind w:firstLineChars="200" w:firstLine="480"/>
        <w:rPr>
          <w:rFonts w:hint="eastAsia"/>
          <w:sz w:val="24"/>
        </w:rPr>
      </w:pPr>
    </w:p>
    <w:p w:rsidR="00D31ECC" w:rsidRPr="006E6BC5" w:rsidRDefault="00D31ECC" w:rsidP="00FC5D1E">
      <w:pPr>
        <w:ind w:firstLineChars="200" w:firstLine="480"/>
        <w:rPr>
          <w:sz w:val="24"/>
        </w:rPr>
      </w:pPr>
      <w:r w:rsidRPr="006E6BC5">
        <w:rPr>
          <w:rFonts w:hint="eastAsia"/>
          <w:sz w:val="24"/>
        </w:rPr>
        <w:t>例题与练习</w:t>
      </w:r>
    </w:p>
    <w:p w:rsidR="00D97EBB" w:rsidRPr="00292DA6" w:rsidRDefault="00D31ECC" w:rsidP="00D97EBB">
      <w:pPr>
        <w:ind w:firstLineChars="200" w:firstLine="480"/>
      </w:pPr>
      <w:r>
        <w:rPr>
          <w:rFonts w:hint="eastAsia"/>
          <w:sz w:val="24"/>
        </w:rPr>
        <w:t>【例</w:t>
      </w:r>
      <w:r>
        <w:rPr>
          <w:rFonts w:hint="eastAsia"/>
          <w:sz w:val="24"/>
        </w:rPr>
        <w:t>1</w:t>
      </w:r>
      <w:r>
        <w:rPr>
          <w:rFonts w:hint="eastAsia"/>
          <w:sz w:val="24"/>
        </w:rPr>
        <w:t>】</w:t>
      </w:r>
      <w:r w:rsidR="00D97EBB" w:rsidRPr="00292DA6">
        <w:rPr>
          <w:rFonts w:hint="eastAsia"/>
        </w:rPr>
        <w:t>关于重力势能的</w:t>
      </w:r>
      <w:r w:rsidR="00D97EBB">
        <w:rPr>
          <w:rFonts w:hint="eastAsia"/>
        </w:rPr>
        <w:t>下列说法中</w:t>
      </w:r>
      <w:r w:rsidR="00D97EBB" w:rsidRPr="00292DA6">
        <w:rPr>
          <w:rFonts w:hint="eastAsia"/>
        </w:rPr>
        <w:t>正确的是</w:t>
      </w:r>
      <w:r w:rsidR="00D97EBB">
        <w:rPr>
          <w:rFonts w:hint="eastAsia"/>
        </w:rPr>
        <w:t>（</w:t>
      </w:r>
      <w:r w:rsidR="00D97EBB">
        <w:rPr>
          <w:rFonts w:hint="eastAsia"/>
        </w:rPr>
        <w:t xml:space="preserve">    </w:t>
      </w:r>
      <w:r w:rsidR="00D97EBB">
        <w:rPr>
          <w:rFonts w:hint="eastAsia"/>
        </w:rPr>
        <w:t>）</w:t>
      </w:r>
    </w:p>
    <w:p w:rsidR="00D97EBB" w:rsidRPr="00292DA6" w:rsidRDefault="00D97EBB" w:rsidP="00D97EBB">
      <w:pPr>
        <w:ind w:firstLineChars="350" w:firstLine="735"/>
      </w:pPr>
      <w:r w:rsidRPr="00292DA6">
        <w:t>A</w:t>
      </w:r>
      <w:r w:rsidRPr="00292DA6">
        <w:rPr>
          <w:rFonts w:hint="eastAsia"/>
        </w:rPr>
        <w:t>．</w:t>
      </w:r>
      <w:r>
        <w:rPr>
          <w:rFonts w:hint="eastAsia"/>
        </w:rPr>
        <w:t>重力势能不能为负值</w:t>
      </w:r>
    </w:p>
    <w:p w:rsidR="00D97EBB" w:rsidRPr="00292DA6" w:rsidRDefault="00D97EBB" w:rsidP="00D97EBB">
      <w:pPr>
        <w:ind w:firstLineChars="350" w:firstLine="735"/>
      </w:pPr>
      <w:r w:rsidRPr="00292DA6">
        <w:t>B</w:t>
      </w:r>
      <w:r w:rsidRPr="00292DA6">
        <w:rPr>
          <w:rFonts w:hint="eastAsia"/>
        </w:rPr>
        <w:t>．</w:t>
      </w:r>
      <w:r w:rsidRPr="00292DA6">
        <w:rPr>
          <w:rFonts w:hint="eastAsia"/>
          <w:szCs w:val="21"/>
        </w:rPr>
        <w:t>物体增加的重力势能等于物体克服重力做的功</w:t>
      </w:r>
    </w:p>
    <w:p w:rsidR="00D97EBB" w:rsidRPr="00292DA6" w:rsidRDefault="00D97EBB" w:rsidP="00D97EBB">
      <w:pPr>
        <w:ind w:firstLineChars="350" w:firstLine="735"/>
      </w:pPr>
      <w:r w:rsidRPr="00292DA6">
        <w:t>C</w:t>
      </w:r>
      <w:r w:rsidRPr="00292DA6">
        <w:rPr>
          <w:rFonts w:hint="eastAsia"/>
        </w:rPr>
        <w:t>．重力势能等于零的物体，一定不会对别的物体做功</w:t>
      </w:r>
    </w:p>
    <w:p w:rsidR="00D97EBB" w:rsidRDefault="00D97EBB" w:rsidP="00D97EBB">
      <w:pPr>
        <w:ind w:leftChars="350" w:left="1077" w:hangingChars="163" w:hanging="342"/>
        <w:rPr>
          <w:rFonts w:hint="eastAsia"/>
        </w:rPr>
      </w:pPr>
      <w:r w:rsidRPr="00292DA6">
        <w:t>D</w:t>
      </w:r>
      <w:r w:rsidRPr="00292DA6">
        <w:rPr>
          <w:rFonts w:hint="eastAsia"/>
        </w:rPr>
        <w:t>．相对不同的参考平面，物体具有不同数值的重力势能，但并不影响研究有关重力势能</w:t>
      </w:r>
    </w:p>
    <w:p w:rsidR="002F03DE" w:rsidRPr="00292DA6" w:rsidRDefault="002F03DE" w:rsidP="00D97EBB">
      <w:pPr>
        <w:ind w:leftChars="350" w:left="1077" w:hangingChars="163" w:hanging="342"/>
      </w:pPr>
      <w:r>
        <w:rPr>
          <w:noProof/>
        </w:rPr>
        <w:drawing>
          <wp:anchor distT="0" distB="0" distL="114300" distR="114300" simplePos="0" relativeHeight="251660288" behindDoc="0" locked="0" layoutInCell="1" allowOverlap="0">
            <wp:simplePos x="0" y="0"/>
            <wp:positionH relativeFrom="column">
              <wp:posOffset>3834765</wp:posOffset>
            </wp:positionH>
            <wp:positionV relativeFrom="paragraph">
              <wp:posOffset>43180</wp:posOffset>
            </wp:positionV>
            <wp:extent cx="1617980" cy="981710"/>
            <wp:effectExtent l="19050" t="0" r="1270" b="0"/>
            <wp:wrapSquare wrapText="bothSides"/>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cstate="print"/>
                    <a:srcRect/>
                    <a:stretch>
                      <a:fillRect/>
                    </a:stretch>
                  </pic:blipFill>
                  <pic:spPr bwMode="auto">
                    <a:xfrm>
                      <a:off x="0" y="0"/>
                      <a:ext cx="1617980" cy="981710"/>
                    </a:xfrm>
                    <a:prstGeom prst="rect">
                      <a:avLst/>
                    </a:prstGeom>
                    <a:noFill/>
                    <a:ln w="9525">
                      <a:noFill/>
                      <a:miter lim="800000"/>
                      <a:headEnd/>
                      <a:tailEnd/>
                    </a:ln>
                  </pic:spPr>
                </pic:pic>
              </a:graphicData>
            </a:graphic>
          </wp:anchor>
        </w:drawing>
      </w:r>
    </w:p>
    <w:p w:rsidR="00D97EBB" w:rsidRPr="00292DA6" w:rsidRDefault="002F03DE" w:rsidP="002F03DE">
      <w:pPr>
        <w:ind w:firstLineChars="200" w:firstLine="480"/>
      </w:pPr>
      <w:r>
        <w:rPr>
          <w:rFonts w:hint="eastAsia"/>
          <w:sz w:val="24"/>
        </w:rPr>
        <w:t>【例</w:t>
      </w:r>
      <w:r>
        <w:rPr>
          <w:rFonts w:hint="eastAsia"/>
          <w:sz w:val="24"/>
        </w:rPr>
        <w:t>2</w:t>
      </w:r>
      <w:r>
        <w:rPr>
          <w:rFonts w:hint="eastAsia"/>
          <w:sz w:val="24"/>
        </w:rPr>
        <w:t>】</w:t>
      </w:r>
      <w:r w:rsidR="00D97EBB" w:rsidRPr="00292DA6">
        <w:rPr>
          <w:rFonts w:hint="eastAsia"/>
        </w:rPr>
        <w:t>如图所示，桌面高为</w:t>
      </w:r>
      <w:r w:rsidR="00D97EBB" w:rsidRPr="00C72E9C">
        <w:rPr>
          <w:i/>
        </w:rPr>
        <w:t>h</w:t>
      </w:r>
      <w:r w:rsidR="00D97EBB">
        <w:rPr>
          <w:rFonts w:hint="eastAsia"/>
        </w:rPr>
        <w:t>。</w:t>
      </w:r>
      <w:r w:rsidR="00D97EBB" w:rsidRPr="00292DA6">
        <w:rPr>
          <w:rFonts w:hint="eastAsia"/>
        </w:rPr>
        <w:t>质量为</w:t>
      </w:r>
      <w:r w:rsidR="00D97EBB" w:rsidRPr="00C72E9C">
        <w:rPr>
          <w:i/>
        </w:rPr>
        <w:t>m</w:t>
      </w:r>
      <w:r w:rsidR="00D97EBB" w:rsidRPr="00292DA6">
        <w:rPr>
          <w:rFonts w:hint="eastAsia"/>
        </w:rPr>
        <w:t>的小球从离桌面高</w:t>
      </w:r>
      <w:r w:rsidR="00D97EBB" w:rsidRPr="00C72E9C">
        <w:rPr>
          <w:i/>
        </w:rPr>
        <w:t>H</w:t>
      </w:r>
      <w:r w:rsidR="00D97EBB" w:rsidRPr="00292DA6">
        <w:rPr>
          <w:rFonts w:hint="eastAsia"/>
        </w:rPr>
        <w:t>处自由落下，不计空气阻力，</w:t>
      </w:r>
      <w:r w:rsidR="00D97EBB">
        <w:rPr>
          <w:rFonts w:hint="eastAsia"/>
        </w:rPr>
        <w:t>取</w:t>
      </w:r>
      <w:r w:rsidR="00D97EBB" w:rsidRPr="00292DA6">
        <w:rPr>
          <w:rFonts w:hint="eastAsia"/>
        </w:rPr>
        <w:t>桌面</w:t>
      </w:r>
      <w:r w:rsidR="00D97EBB">
        <w:rPr>
          <w:rFonts w:hint="eastAsia"/>
        </w:rPr>
        <w:t>所在平面为零势能平面</w:t>
      </w:r>
      <w:r w:rsidR="00D97EBB" w:rsidRPr="00292DA6">
        <w:rPr>
          <w:rFonts w:hint="eastAsia"/>
        </w:rPr>
        <w:t>，则小球落到地面</w:t>
      </w:r>
      <w:r w:rsidR="00D97EBB">
        <w:rPr>
          <w:rFonts w:hint="eastAsia"/>
        </w:rPr>
        <w:t>时</w:t>
      </w:r>
      <w:r w:rsidR="00D97EBB" w:rsidRPr="00292DA6">
        <w:rPr>
          <w:rFonts w:hint="eastAsia"/>
        </w:rPr>
        <w:t>的重力势能为（</w:t>
      </w:r>
      <w:r w:rsidR="00D97EBB" w:rsidRPr="00292DA6">
        <w:t xml:space="preserve"> </w:t>
      </w:r>
      <w:r w:rsidR="00D97EBB">
        <w:rPr>
          <w:rFonts w:hint="eastAsia"/>
        </w:rPr>
        <w:t xml:space="preserve"> </w:t>
      </w:r>
      <w:r w:rsidR="00D97EBB" w:rsidRPr="00292DA6">
        <w:t xml:space="preserve">  </w:t>
      </w:r>
      <w:r w:rsidR="00D97EBB" w:rsidRPr="00292DA6">
        <w:rPr>
          <w:rFonts w:hint="eastAsia"/>
        </w:rPr>
        <w:t>）</w:t>
      </w:r>
    </w:p>
    <w:p w:rsidR="002F03DE" w:rsidRDefault="00D97EBB" w:rsidP="00D97EBB">
      <w:pPr>
        <w:ind w:firstLineChars="350" w:firstLine="735"/>
        <w:rPr>
          <w:rFonts w:hint="eastAsia"/>
          <w:i/>
        </w:rPr>
      </w:pPr>
      <w:r w:rsidRPr="00292DA6">
        <w:t>A</w:t>
      </w:r>
      <w:r>
        <w:rPr>
          <w:rFonts w:hint="eastAsia"/>
        </w:rPr>
        <w:t>．</w:t>
      </w:r>
      <w:proofErr w:type="spellStart"/>
      <w:r w:rsidRPr="00C72E9C">
        <w:rPr>
          <w:i/>
        </w:rPr>
        <w:t>mgh</w:t>
      </w:r>
      <w:proofErr w:type="spellEnd"/>
      <w:r>
        <w:rPr>
          <w:rFonts w:hint="eastAsia"/>
        </w:rPr>
        <w:t xml:space="preserve">         </w:t>
      </w:r>
      <w:r w:rsidRPr="00292DA6">
        <w:t>B</w:t>
      </w:r>
      <w:r>
        <w:rPr>
          <w:rFonts w:hint="eastAsia"/>
        </w:rPr>
        <w:t>．</w:t>
      </w:r>
      <w:proofErr w:type="spellStart"/>
      <w:r w:rsidRPr="00C72E9C">
        <w:rPr>
          <w:i/>
        </w:rPr>
        <w:t>mgH</w:t>
      </w:r>
      <w:proofErr w:type="spellEnd"/>
      <w:r>
        <w:rPr>
          <w:rFonts w:hint="eastAsia"/>
          <w:i/>
        </w:rPr>
        <w:t xml:space="preserve">        </w:t>
      </w:r>
    </w:p>
    <w:p w:rsidR="00D97EBB" w:rsidRPr="00292DA6" w:rsidRDefault="00D97EBB" w:rsidP="00D97EBB">
      <w:pPr>
        <w:ind w:firstLineChars="350" w:firstLine="735"/>
      </w:pPr>
      <w:r w:rsidRPr="00292DA6">
        <w:t>C</w:t>
      </w:r>
      <w:r>
        <w:rPr>
          <w:rFonts w:hint="eastAsia"/>
        </w:rPr>
        <w:t>．</w:t>
      </w:r>
      <w:r w:rsidRPr="00C72E9C">
        <w:rPr>
          <w:i/>
        </w:rPr>
        <w:t>mg</w:t>
      </w:r>
      <w:r w:rsidRPr="00292DA6">
        <w:t>(</w:t>
      </w:r>
      <w:proofErr w:type="spellStart"/>
      <w:r w:rsidRPr="00C72E9C">
        <w:rPr>
          <w:i/>
        </w:rPr>
        <w:t>h</w:t>
      </w:r>
      <w:r w:rsidRPr="00292DA6">
        <w:t>+</w:t>
      </w:r>
      <w:r w:rsidRPr="00C72E9C">
        <w:rPr>
          <w:i/>
        </w:rPr>
        <w:t>H</w:t>
      </w:r>
      <w:proofErr w:type="spellEnd"/>
      <w:r w:rsidRPr="00292DA6">
        <w:t>)</w:t>
      </w:r>
      <w:r>
        <w:rPr>
          <w:rFonts w:hint="eastAsia"/>
        </w:rPr>
        <w:t xml:space="preserve">        </w:t>
      </w:r>
      <w:r w:rsidRPr="00292DA6">
        <w:t>D</w:t>
      </w:r>
      <w:r>
        <w:rPr>
          <w:rFonts w:hint="eastAsia"/>
        </w:rPr>
        <w:t>．</w:t>
      </w:r>
      <w:r w:rsidRPr="00C72E9C">
        <w:rPr>
          <w:rFonts w:ascii="宋体" w:hAnsi="宋体"/>
        </w:rPr>
        <w:t>-</w:t>
      </w:r>
      <w:proofErr w:type="spellStart"/>
      <w:r w:rsidRPr="00C72E9C">
        <w:rPr>
          <w:i/>
        </w:rPr>
        <w:t>mgh</w:t>
      </w:r>
      <w:proofErr w:type="spellEnd"/>
    </w:p>
    <w:p w:rsidR="00904816" w:rsidRDefault="00904816" w:rsidP="00FC5D1E">
      <w:pPr>
        <w:ind w:firstLineChars="200" w:firstLine="480"/>
        <w:rPr>
          <w:rFonts w:hint="eastAsia"/>
          <w:sz w:val="24"/>
        </w:rPr>
      </w:pPr>
    </w:p>
    <w:p w:rsidR="002F03DE" w:rsidRPr="00FC5D1E" w:rsidRDefault="002F03DE" w:rsidP="002F03DE">
      <w:pPr>
        <w:ind w:firstLineChars="200" w:firstLine="420"/>
        <w:rPr>
          <w:rFonts w:ascii="Times New Roman" w:hAnsi="Times New Roman" w:cs="Times New Roman"/>
        </w:rPr>
      </w:pPr>
    </w:p>
    <w:sectPr w:rsidR="002F03DE" w:rsidRPr="00FC5D1E" w:rsidSect="00F8633B">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C0309" w:rsidRDefault="003C0309" w:rsidP="00F32837">
      <w:r>
        <w:separator/>
      </w:r>
    </w:p>
  </w:endnote>
  <w:endnote w:type="continuationSeparator" w:id="0">
    <w:p w:rsidR="003C0309" w:rsidRDefault="003C0309" w:rsidP="00F3283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C0309" w:rsidRDefault="003C0309" w:rsidP="00F32837">
      <w:r>
        <w:separator/>
      </w:r>
    </w:p>
  </w:footnote>
  <w:footnote w:type="continuationSeparator" w:id="0">
    <w:p w:rsidR="003C0309" w:rsidRDefault="003C0309" w:rsidP="00F32837">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9B36270"/>
    <w:multiLevelType w:val="hybridMultilevel"/>
    <w:tmpl w:val="B14EAFDA"/>
    <w:lvl w:ilvl="0" w:tplc="D20808FA">
      <w:start w:val="1"/>
      <w:numFmt w:val="japaneseCount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nsid w:val="5F5E6C71"/>
    <w:multiLevelType w:val="hybridMultilevel"/>
    <w:tmpl w:val="D79AC870"/>
    <w:lvl w:ilvl="0" w:tplc="D0A614F8">
      <w:start w:val="1"/>
      <w:numFmt w:val="japaneseCounting"/>
      <w:lvlText w:val="%1、"/>
      <w:lvlJc w:val="left"/>
      <w:pPr>
        <w:ind w:left="480" w:hanging="48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nsid w:val="69FF1C1C"/>
    <w:multiLevelType w:val="hybridMultilevel"/>
    <w:tmpl w:val="FEAA6B74"/>
    <w:lvl w:ilvl="0" w:tplc="D21C1FD2">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
    <w:nsid w:val="709C5C30"/>
    <w:multiLevelType w:val="hybridMultilevel"/>
    <w:tmpl w:val="9ED268C2"/>
    <w:lvl w:ilvl="0" w:tplc="BE9AC91A">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1"/>
  </w:num>
  <w:num w:numId="2">
    <w:abstractNumId w:val="0"/>
  </w:num>
  <w:num w:numId="3">
    <w:abstractNumId w:val="3"/>
  </w:num>
  <w:num w:numId="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70"/>
  <w:bordersDoNotSurroundHeader/>
  <w:bordersDoNotSurroundFooter/>
  <w:proofState w:spelling="clean"/>
  <w:defaultTabStop w:val="420"/>
  <w:drawingGridVerticalSpacing w:val="156"/>
  <w:displayHorizontalDrawingGridEvery w:val="0"/>
  <w:displayVerticalDrawingGridEvery w:val="2"/>
  <w:characterSpacingControl w:val="compressPunctuation"/>
  <w:hdrShapeDefaults>
    <o:shapedefaults v:ext="edit" spidmax="5122"/>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932BA2"/>
    <w:rsid w:val="000567FD"/>
    <w:rsid w:val="0007627A"/>
    <w:rsid w:val="002264A6"/>
    <w:rsid w:val="002F03DE"/>
    <w:rsid w:val="00302187"/>
    <w:rsid w:val="003C0309"/>
    <w:rsid w:val="00404E75"/>
    <w:rsid w:val="00493FB6"/>
    <w:rsid w:val="005C3605"/>
    <w:rsid w:val="006E6BC5"/>
    <w:rsid w:val="008F0EE1"/>
    <w:rsid w:val="00904816"/>
    <w:rsid w:val="00932BA2"/>
    <w:rsid w:val="009D1B1C"/>
    <w:rsid w:val="009F0EB0"/>
    <w:rsid w:val="00A54DF0"/>
    <w:rsid w:val="00AD7117"/>
    <w:rsid w:val="00B0672B"/>
    <w:rsid w:val="00C07436"/>
    <w:rsid w:val="00CC7505"/>
    <w:rsid w:val="00CF4FDB"/>
    <w:rsid w:val="00D31ECC"/>
    <w:rsid w:val="00D97EBB"/>
    <w:rsid w:val="00DC37D7"/>
    <w:rsid w:val="00E31DF5"/>
    <w:rsid w:val="00F32837"/>
    <w:rsid w:val="00F8633B"/>
    <w:rsid w:val="00FC5D1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8633B"/>
    <w:pPr>
      <w:widowControl w:val="0"/>
      <w:jc w:val="both"/>
    </w:pPr>
  </w:style>
  <w:style w:type="character" w:default="1" w:styleId="a0">
    <w:name w:val="Default Paragraph Font"/>
    <w:uiPriority w:val="1"/>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32BA2"/>
    <w:pPr>
      <w:ind w:firstLineChars="200" w:firstLine="420"/>
    </w:pPr>
  </w:style>
  <w:style w:type="paragraph" w:styleId="a4">
    <w:name w:val="header"/>
    <w:basedOn w:val="a"/>
    <w:link w:val="Char"/>
    <w:uiPriority w:val="99"/>
    <w:unhideWhenUsed/>
    <w:rsid w:val="00F32837"/>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rsid w:val="00F32837"/>
    <w:rPr>
      <w:sz w:val="18"/>
      <w:szCs w:val="18"/>
    </w:rPr>
  </w:style>
  <w:style w:type="paragraph" w:styleId="a5">
    <w:name w:val="footer"/>
    <w:basedOn w:val="a"/>
    <w:link w:val="Char0"/>
    <w:uiPriority w:val="99"/>
    <w:unhideWhenUsed/>
    <w:rsid w:val="00F32837"/>
    <w:pPr>
      <w:tabs>
        <w:tab w:val="center" w:pos="4153"/>
        <w:tab w:val="right" w:pos="8306"/>
      </w:tabs>
      <w:snapToGrid w:val="0"/>
      <w:jc w:val="left"/>
    </w:pPr>
    <w:rPr>
      <w:sz w:val="18"/>
      <w:szCs w:val="18"/>
    </w:rPr>
  </w:style>
  <w:style w:type="character" w:customStyle="1" w:styleId="Char0">
    <w:name w:val="页脚 Char"/>
    <w:basedOn w:val="a0"/>
    <w:link w:val="a5"/>
    <w:uiPriority w:val="99"/>
    <w:rsid w:val="00F32837"/>
    <w:rPr>
      <w:sz w:val="18"/>
      <w:szCs w:val="18"/>
    </w:rPr>
  </w:style>
  <w:style w:type="paragraph" w:styleId="a6">
    <w:name w:val="Normal (Web)"/>
    <w:basedOn w:val="a"/>
    <w:uiPriority w:val="99"/>
    <w:semiHidden/>
    <w:unhideWhenUsed/>
    <w:rsid w:val="00CF4FDB"/>
    <w:pPr>
      <w:widowControl/>
      <w:spacing w:before="100" w:beforeAutospacing="1" w:after="100" w:afterAutospacing="1"/>
      <w:jc w:val="left"/>
    </w:pPr>
    <w:rPr>
      <w:rFonts w:ascii="宋体" w:eastAsia="宋体" w:hAnsi="宋体" w:cs="宋体"/>
      <w:kern w:val="0"/>
      <w:sz w:val="24"/>
      <w:szCs w:val="24"/>
    </w:rPr>
  </w:style>
  <w:style w:type="paragraph" w:styleId="a7">
    <w:name w:val="Balloon Text"/>
    <w:basedOn w:val="a"/>
    <w:link w:val="Char1"/>
    <w:uiPriority w:val="99"/>
    <w:semiHidden/>
    <w:unhideWhenUsed/>
    <w:rsid w:val="00CF4FDB"/>
    <w:rPr>
      <w:sz w:val="18"/>
      <w:szCs w:val="18"/>
    </w:rPr>
  </w:style>
  <w:style w:type="character" w:customStyle="1" w:styleId="Char1">
    <w:name w:val="批注框文本 Char"/>
    <w:basedOn w:val="a0"/>
    <w:link w:val="a7"/>
    <w:uiPriority w:val="99"/>
    <w:semiHidden/>
    <w:rsid w:val="00CF4FDB"/>
    <w:rPr>
      <w:sz w:val="18"/>
      <w:szCs w:val="18"/>
    </w:rPr>
  </w:style>
</w:styles>
</file>

<file path=word/webSettings.xml><?xml version="1.0" encoding="utf-8"?>
<w:webSettings xmlns:r="http://schemas.openxmlformats.org/officeDocument/2006/relationships" xmlns:w="http://schemas.openxmlformats.org/wordprocessingml/2006/main">
  <w:divs>
    <w:div w:id="559755268">
      <w:bodyDiv w:val="1"/>
      <w:marLeft w:val="0"/>
      <w:marRight w:val="0"/>
      <w:marTop w:val="0"/>
      <w:marBottom w:val="0"/>
      <w:divBdr>
        <w:top w:val="none" w:sz="0" w:space="0" w:color="auto"/>
        <w:left w:val="none" w:sz="0" w:space="0" w:color="auto"/>
        <w:bottom w:val="none" w:sz="0" w:space="0" w:color="auto"/>
        <w:right w:val="none" w:sz="0" w:space="0" w:color="auto"/>
      </w:divBdr>
    </w:div>
    <w:div w:id="648904054">
      <w:bodyDiv w:val="1"/>
      <w:marLeft w:val="0"/>
      <w:marRight w:val="0"/>
      <w:marTop w:val="0"/>
      <w:marBottom w:val="0"/>
      <w:divBdr>
        <w:top w:val="none" w:sz="0" w:space="0" w:color="auto"/>
        <w:left w:val="none" w:sz="0" w:space="0" w:color="auto"/>
        <w:bottom w:val="none" w:sz="0" w:space="0" w:color="auto"/>
        <w:right w:val="none" w:sz="0" w:space="0" w:color="auto"/>
      </w:divBdr>
    </w:div>
    <w:div w:id="935944298">
      <w:bodyDiv w:val="1"/>
      <w:marLeft w:val="0"/>
      <w:marRight w:val="0"/>
      <w:marTop w:val="0"/>
      <w:marBottom w:val="0"/>
      <w:divBdr>
        <w:top w:val="none" w:sz="0" w:space="0" w:color="auto"/>
        <w:left w:val="none" w:sz="0" w:space="0" w:color="auto"/>
        <w:bottom w:val="none" w:sz="0" w:space="0" w:color="auto"/>
        <w:right w:val="none" w:sz="0" w:space="0" w:color="auto"/>
      </w:divBdr>
    </w:div>
    <w:div w:id="1023245573">
      <w:bodyDiv w:val="1"/>
      <w:marLeft w:val="0"/>
      <w:marRight w:val="0"/>
      <w:marTop w:val="0"/>
      <w:marBottom w:val="0"/>
      <w:divBdr>
        <w:top w:val="none" w:sz="0" w:space="0" w:color="auto"/>
        <w:left w:val="none" w:sz="0" w:space="0" w:color="auto"/>
        <w:bottom w:val="none" w:sz="0" w:space="0" w:color="auto"/>
        <w:right w:val="none" w:sz="0" w:space="0" w:color="auto"/>
      </w:divBdr>
    </w:div>
    <w:div w:id="11242298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Office 主题​​">
  <a:themeElements>
    <a:clrScheme name="Office">
      <a:dk1>
        <a:sysClr val="windowText" lastClr="535353"/>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364</TotalTime>
  <Pages>2</Pages>
  <Words>122</Words>
  <Characters>697</Characters>
  <Application>Microsoft Office Word</Application>
  <DocSecurity>0</DocSecurity>
  <Lines>5</Lines>
  <Paragraphs>1</Paragraphs>
  <ScaleCrop>false</ScaleCrop>
  <Company>china</Company>
  <LinksUpToDate>false</LinksUpToDate>
  <CharactersWithSpaces>818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3</cp:revision>
  <cp:lastPrinted>2020-03-29T14:16:00Z</cp:lastPrinted>
  <dcterms:created xsi:type="dcterms:W3CDTF">2020-04-10T18:26:00Z</dcterms:created>
  <dcterms:modified xsi:type="dcterms:W3CDTF">2020-04-10T23:50:00Z</dcterms:modified>
</cp:coreProperties>
</file>