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作业设计</w:t>
      </w:r>
    </w:p>
    <w:p>
      <w:pPr>
        <w:adjustRightInd w:val="0"/>
        <w:snapToGrid w:val="0"/>
        <w:rPr>
          <w:rFonts w:ascii="Times New Roman" w:hAnsi="Times New Roman" w:cs="宋体"/>
          <w:b/>
          <w:kern w:val="0"/>
          <w:sz w:val="24"/>
        </w:rPr>
      </w:pPr>
      <w:r>
        <w:rPr>
          <w:rFonts w:hint="eastAsia" w:ascii="Times New Roman" w:hAnsi="Times New Roman" w:cs="宋体"/>
          <w:b/>
          <w:kern w:val="0"/>
          <w:sz w:val="24"/>
        </w:rPr>
        <w:t>一、选择题</w:t>
      </w:r>
    </w:p>
    <w:p>
      <w:pPr>
        <w:adjustRightInd w:val="0"/>
        <w:snapToGrid w:val="0"/>
        <w:spacing w:line="400" w:lineRule="exact"/>
        <w:ind w:left="210" w:hanging="210" w:hanging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1.历史兴趣小组进行研究性学习，收集到一些图片资料。比较下列同学们收集的两幅图片，选项中说法正确的是</w:t>
      </w:r>
    </w:p>
    <w:p>
      <w:pPr>
        <w:adjustRightInd w:val="0"/>
        <w:snapToGrid w:val="0"/>
        <w:spacing w:line="400" w:lineRule="exact"/>
        <w:ind w:firstLine="630" w:firstLineChars="300"/>
        <w:rPr>
          <w:rFonts w:ascii="楷体" w:hAnsi="楷体" w:eastAsia="楷体" w:cs="楷体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31750</wp:posOffset>
            </wp:positionV>
            <wp:extent cx="3743325" cy="1238885"/>
            <wp:effectExtent l="0" t="0" r="9525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00" w:lineRule="exact"/>
        <w:ind w:firstLine="630" w:firstLineChars="300"/>
        <w:rPr>
          <w:rFonts w:ascii="楷体" w:hAnsi="楷体" w:eastAsia="楷体" w:cs="楷体"/>
          <w:szCs w:val="21"/>
        </w:rPr>
      </w:pPr>
    </w:p>
    <w:p>
      <w:pPr>
        <w:adjustRightInd w:val="0"/>
        <w:snapToGrid w:val="0"/>
        <w:spacing w:line="400" w:lineRule="exact"/>
        <w:ind w:firstLine="630" w:firstLineChars="300"/>
        <w:rPr>
          <w:rFonts w:ascii="楷体" w:hAnsi="楷体" w:eastAsia="楷体" w:cs="楷体"/>
          <w:szCs w:val="21"/>
        </w:rPr>
      </w:pPr>
    </w:p>
    <w:p>
      <w:pPr>
        <w:adjustRightInd w:val="0"/>
        <w:snapToGrid w:val="0"/>
        <w:spacing w:line="400" w:lineRule="exact"/>
        <w:ind w:firstLine="630" w:firstLineChars="300"/>
        <w:rPr>
          <w:rFonts w:ascii="楷体" w:hAnsi="楷体" w:eastAsia="楷体" w:cs="楷体"/>
          <w:szCs w:val="21"/>
        </w:rPr>
      </w:pPr>
    </w:p>
    <w:p>
      <w:pPr>
        <w:adjustRightInd w:val="0"/>
        <w:snapToGrid w:val="0"/>
        <w:spacing w:line="400" w:lineRule="exact"/>
        <w:ind w:firstLine="210" w:firstLineChars="100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A.促进资本主义经济发展</w: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>B.改变世界贸易的格局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C.促进各地经济文化交流</w: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>D.加快殖民扩张的速度</w:t>
      </w:r>
    </w:p>
    <w:p>
      <w:pPr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2.古代中华文明与欧洲文明的交往、交流历程中，担当交流使者的有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①鉴真②玄奘③马可·波罗④阿拉伯人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A.①②      B.②③      C.②④          D.③④</w:t>
      </w:r>
    </w:p>
    <w:p>
      <w:pPr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28575</wp:posOffset>
            </wp:positionV>
            <wp:extent cx="2533650" cy="1277620"/>
            <wp:effectExtent l="0" t="0" r="0" b="17780"/>
            <wp:wrapSquare wrapText="bothSides"/>
            <wp:docPr id="4" name="图片 4" descr="eee234b979490ff1a0f1ab9a926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e234b979490ff1a0f1ab9a92637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Cs w:val="21"/>
        </w:rPr>
        <w:t>3.下图反映的历史事件是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A．张骞出使西域     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B．玄奘西游     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C．鉴真东渡     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D．郑和下西洋</w:t>
      </w:r>
    </w:p>
    <w:p>
      <w:pPr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adjustRightInd w:val="0"/>
        <w:snapToGrid w:val="0"/>
        <w:spacing w:line="400" w:lineRule="exact"/>
        <w:ind w:left="210" w:hanging="210" w:hanging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4.明朝中期，中国沿海倭寇日益严重，一位著名抗倭将领在任登州卫指挥佥事时曾写道“云护牙签满，星含宝剑横。封侯非我意，但愿海波平。”他是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A.戚继光       B.郑成功        C.俞大猷          D.岳飞</w:t>
      </w:r>
    </w:p>
    <w:p>
      <w:pPr>
        <w:adjustRightInd w:val="0"/>
        <w:snapToGrid w:val="0"/>
        <w:spacing w:line="400" w:lineRule="exact"/>
        <w:ind w:left="210" w:hanging="210" w:hanging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5.培根评价我国古代的重大发明：“这三种东西改变了世界面貌，第一种在文学上。第二种在战争上。第三种在航海上”。其中“第三种”指的是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A．造纸术           B．活字印刷术         C．火药            D．指南针</w:t>
      </w:r>
    </w:p>
    <w:p>
      <w:pPr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</w:t>
      </w:r>
      <w:bookmarkStart w:id="0" w:name="topic_674bbaba-9cc6-44a3-9a59-b231cd7ac2"/>
      <w:r>
        <w:rPr>
          <w:rFonts w:hint="eastAsia" w:asciiTheme="minorEastAsia" w:hAnsiTheme="minorEastAsia" w:eastAsiaTheme="minorEastAsia" w:cstheme="minorEastAsia"/>
          <w:szCs w:val="21"/>
        </w:rPr>
        <w:t>.1757年，乾隆帝下令只许广州一处通商，这是因为他认为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A.大清富庶无比，无需与外国贸易  B.倭寇会大肆侵扰沿海地区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C.东南沿海的抗清力量会危及统治  D.可防范英国猖獗的鸦片走私</w:t>
      </w:r>
      <w:bookmarkEnd w:id="0"/>
    </w:p>
    <w:p>
      <w:pPr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7.右侧是学生整理的学习笔记，下列选项与笔记内容相符的是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</w:rPr>
        <w:pict>
          <v:shape id="_x0000_s1027" o:spid="_x0000_s1027" o:spt="202" type="#_x0000_t202" style="position:absolute;left:0pt;margin-left:226.1pt;margin-top:9.35pt;height:72.9pt;width:177.75pt;mso-wrap-distance-bottom:0pt;mso-wrap-distance-left:9pt;mso-wrap-distance-right:9pt;mso-wrap-distance-top:0pt;z-index:251660288;mso-width-relative:page;mso-height-relative:page;" stroked="f" coordsize="21600,21600" o:gfxdata="UEsDBAoAAAAAAIdO4kAAAAAAAAAAAAAAAAAEAAAAZHJzL1BLAwQUAAAACACHTuJARnSVoNcAAAAK&#10;AQAADwAAAGRycy9kb3ducmV2LnhtbE2PwU7DMAyG70i8Q2QkLoglLXSB0nQSSCCuG3sAt/Haiiap&#10;mmzd3h5zgpNl+dPv7682ZzeKE81xCN5AtlIgyLfBDr4zsP96v38CERN6i2PwZOBCETb19VWFpQ2L&#10;39JplzrBIT6WaKBPaSqljG1PDuMqTOT5dgizw8Tr3Ek748LhbpS5UmvpcPD8oceJ3npqv3dHZ+Dw&#10;udwVz0vzkfZ6+7h+xUE34WLM7U2mXkAkOqc/GH71WR1qdmrC0dsoRgMPRaYZNZAXPBnQSucgGiZ1&#10;VoCsK/m/Qv0DUEsDBBQAAAAIAIdO4kAKiwRzpwEAACkDAAAOAAAAZHJzL2Uyb0RvYy54bWytUsFu&#10;EzEQvSPxD5bvxOlCoF1lUwmqcEGAVPoBjte7a8n2WGM3u/kB+ANOXLjzXfkOxk6atnCruodZe+b5&#10;ed4bLy8nZ9lWYzTgG342m3OmvYLW+L7hN9/Wr845i0n6VlrwuuE7Hfnl6uWL5RhqXcEAttXIiMTH&#10;egwNH1IKtRBRDdrJOIOgPRU7QCcTbbEXLcqR2J0V1Xz+VoyAbUBQOkbKXh2KfFX4u06r9KXrok7M&#10;Npx6SyViiZscxWop6x5lGIw6tiGf0IWTxtOlJ6ormSS7RfMflTMKIUKXZgqcgK4zShcNpOZs/o+a&#10;60EGXbSQOTGcbIrPR6s+b78iM23DF5x56WhE+58/9r/+7H9/Z4tszxhiTajrQLg0vYeJxnyXj5TM&#10;qqcOXf6THkZ1Mnp3MldPiSlKVtXi3ZuKblFUu6gW56+L++L+dMCYPmpwLC8ajjS84qncfoqJOiHo&#10;HSRfFsGadm2sLRvsNx8ssq2kQa/Ll5ukI49g1mewh3zsUM4ZkTUetORVmjbTUfgG2h3pvg1o+oF6&#10;KsoLnOZR6I9vJw/84b6Q3r/w1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GdJWg1wAAAAoBAAAP&#10;AAAAAAAAAAEAIAAAACIAAABkcnMvZG93bnJldi54bWxQSwECFAAUAAAACACHTuJACosEc6cBAAAp&#10;AwAADgAAAAAAAAABACAAAAAmAQAAZHJzL2Uyb0RvYy54bWxQSwUGAAAAAAYABgBZAQAAPw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114300" distR="114300">
                        <wp:extent cx="1965325" cy="835025"/>
                        <wp:effectExtent l="0" t="0" r="15875" b="3175"/>
                        <wp:docPr id="30" name="图片 1" descr="a527cdc78fdc7ce747df73f9ea73a2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图片 1" descr="a527cdc78fdc7ce747df73f9ea73a2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5325" cy="83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hint="eastAsia" w:asciiTheme="minorEastAsia" w:hAnsiTheme="minorEastAsia" w:eastAsiaTheme="minorEastAsia" w:cstheme="minorEastAsia"/>
          <w:szCs w:val="21"/>
        </w:rPr>
        <w:t>A.社会动荡不安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B.休养生息政策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C.海外贸易发展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D.闭关锁国政策</w:t>
      </w:r>
    </w:p>
    <w:p>
      <w:pPr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adjustRightInd w:val="0"/>
        <w:snapToGrid w:val="0"/>
        <w:spacing w:line="400" w:lineRule="exact"/>
        <w:ind w:left="210" w:hanging="210" w:hanging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8.近几十年,东南亚、印度、阿拉伯地区和非洲等地都发现了 15世纪初期中国的青花瓷。这些发现可以用来研究</w:t>
      </w:r>
    </w:p>
    <w:p>
      <w:pPr>
        <w:adjustRightInd w:val="0"/>
        <w:snapToGrid w:val="0"/>
        <w:spacing w:line="400" w:lineRule="exact"/>
        <w:ind w:left="210" w:left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A.张骞通西域</w: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B.玄奘西游</w: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C.鉴真东渡</w: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D.郑和下西洋</w:t>
      </w:r>
    </w:p>
    <w:p>
      <w:pPr>
        <w:adjustRightInd w:val="0"/>
        <w:snapToGrid w:val="0"/>
        <w:spacing w:line="400" w:lineRule="exact"/>
        <w:ind w:left="210" w:hanging="210" w:hanging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9.康熙皇帝在台湾设置一府三县，隶属福建省；又设台湾巡道一员、总兵官一员、副将二</w:t>
      </w:r>
    </w:p>
    <w:p>
      <w:pPr>
        <w:adjustRightInd w:val="0"/>
        <w:snapToGrid w:val="0"/>
        <w:spacing w:line="400" w:lineRule="exact"/>
        <w:ind w:left="210" w:left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员、兵八千镇守。这些措施</w:t>
      </w:r>
    </w:p>
    <w:p>
      <w:pPr>
        <w:adjustRightInd w:val="0"/>
        <w:snapToGrid w:val="0"/>
        <w:spacing w:line="400" w:lineRule="exact"/>
        <w:ind w:left="210" w:left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①抵御了倭寇对沿海地区的侵扰       ②打败了荷兰殖民者收复了台湾</w:t>
      </w:r>
    </w:p>
    <w:p>
      <w:pPr>
        <w:adjustRightInd w:val="0"/>
        <w:snapToGrid w:val="0"/>
        <w:spacing w:line="400" w:lineRule="exact"/>
        <w:ind w:left="210" w:left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③加强了中央政府对台湾的管辖       ④进一步巩固了祖国的东南海疆</w:t>
      </w:r>
    </w:p>
    <w:p>
      <w:pPr>
        <w:adjustRightInd w:val="0"/>
        <w:snapToGrid w:val="0"/>
        <w:spacing w:line="400" w:lineRule="exact"/>
        <w:ind w:left="210" w:left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A.①②         </w: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Cs w:val="21"/>
        </w:rPr>
        <w:t>B.③④          C.②③           D.①④</w:t>
      </w:r>
    </w:p>
    <w:p>
      <w:pPr>
        <w:adjustRightInd w:val="0"/>
        <w:snapToGrid w:val="0"/>
        <w:spacing w:line="400" w:lineRule="exact"/>
        <w:ind w:left="210" w:hanging="210" w:hanging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10.某历史题材影视作品有这样一组镜头：“1894年，双方在黄海发生激战……致远舰弹药将尽时，邓世昌下令开足马力猛冲敌舰，不幸被敌人鱼雷击中，全体将士壮烈殉国。”这组镜头描述的场面出现在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A.鸦片战争  B．第二次鸦片战争     C．中日甲午战争    D．八国联军侵华战争</w:t>
      </w:r>
    </w:p>
    <w:p>
      <w:pPr>
        <w:adjustRightInd w:val="0"/>
        <w:snapToGrid w:val="0"/>
        <w:spacing w:line="40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二、材料分析题</w:t>
      </w:r>
    </w:p>
    <w:p>
      <w:pPr>
        <w:adjustRightInd w:val="0"/>
        <w:snapToGrid w:val="0"/>
        <w:spacing w:line="360" w:lineRule="exact"/>
        <w:jc w:val="left"/>
        <w:rPr>
          <w:rFonts w:ascii="楷体" w:hAnsi="楷体" w:eastAsia="楷体" w:cs="楷体"/>
          <w:b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（8分）联结·贸易·合作</w:t>
      </w:r>
    </w:p>
    <w:p>
      <w:pPr>
        <w:spacing w:line="360" w:lineRule="exact"/>
        <w:rPr>
          <w:rFonts w:ascii="楷体" w:hAnsi="楷体" w:eastAsia="楷体" w:cs="楷体"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材料一</w:t>
      </w:r>
      <w:r>
        <w:rPr>
          <w:rFonts w:hint="eastAsia" w:ascii="楷体" w:hAnsi="楷体" w:eastAsia="楷体" w:cs="楷体"/>
          <w:szCs w:val="21"/>
        </w:rPr>
        <w:t>海上丝绸之路是国际公认的丝绸之路分支之一，和陆上丝绸之路密切相关，是连接古代中国和中亚、波斯以及欧洲、非洲和东北亚地区的贸易大通道。大量文物见证了海上丝路的辉煌。</w:t>
      </w:r>
    </w:p>
    <w:tbl>
      <w:tblPr>
        <w:tblStyle w:val="6"/>
        <w:tblW w:w="85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9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689" w:type="dxa"/>
          </w:tcPr>
          <w:p>
            <w:pPr>
              <w:spacing w:line="36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36195</wp:posOffset>
                  </wp:positionV>
                  <wp:extent cx="1562100" cy="1019810"/>
                  <wp:effectExtent l="0" t="0" r="0" b="8890"/>
                  <wp:wrapSquare wrapText="bothSides"/>
                  <wp:docPr id="1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8" r="343" b="18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Cs w:val="21"/>
              </w:rPr>
              <w:t>汉金花球串饰</w:t>
            </w:r>
          </w:p>
          <w:p>
            <w:pPr>
              <w:spacing w:line="360" w:lineRule="exact"/>
              <w:ind w:firstLine="210" w:firstLineChars="1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（广西合浦出土）</w:t>
            </w:r>
          </w:p>
        </w:tc>
        <w:tc>
          <w:tcPr>
            <w:tcW w:w="2976" w:type="dxa"/>
          </w:tcPr>
          <w:p>
            <w:pPr>
              <w:spacing w:line="360" w:lineRule="exact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40005</wp:posOffset>
                  </wp:positionV>
                  <wp:extent cx="1439545" cy="1045210"/>
                  <wp:effectExtent l="0" t="0" r="8255" b="2540"/>
                  <wp:wrapSquare wrapText="bothSides"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2052" b="15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Cs w:val="21"/>
              </w:rPr>
              <w:t>五代越窑鹦鹉纹粉盒</w:t>
            </w:r>
          </w:p>
          <w:p>
            <w:pPr>
              <w:spacing w:line="360" w:lineRule="exact"/>
              <w:ind w:firstLine="630" w:firstLineChars="3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（浙江余姚出土）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41910</wp:posOffset>
                  </wp:positionV>
                  <wp:extent cx="1102360" cy="1046480"/>
                  <wp:effectExtent l="0" t="0" r="2540" b="1270"/>
                  <wp:wrapSquare wrapText="bothSides"/>
                  <wp:docPr id="18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元基督教四翼天使墓碑石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（福建泉州出土）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金花球共出土</w:t>
            </w:r>
            <w:r>
              <w:rPr>
                <w:rFonts w:ascii="楷体" w:hAnsi="楷体" w:eastAsia="楷体" w:cs="楷体"/>
                <w:szCs w:val="21"/>
              </w:rPr>
              <w:t>5</w:t>
            </w:r>
            <w:r>
              <w:rPr>
                <w:rFonts w:hint="eastAsia" w:ascii="楷体" w:hAnsi="楷体" w:eastAsia="楷体" w:cs="楷体"/>
                <w:szCs w:val="21"/>
              </w:rPr>
              <w:t>个，其焊接工艺源自印度、古希腊迈锡尼等地。</w:t>
            </w:r>
          </w:p>
        </w:tc>
        <w:tc>
          <w:tcPr>
            <w:tcW w:w="2976" w:type="dxa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越窑制瓷技术被传授到了朝鲜半岛，朝鲜半岛有与此粉盒类似器物出土。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该墓碑石上面雕刻有多种宗教的标志，是当时泉州多种宗教并存的见证。</w:t>
            </w:r>
          </w:p>
        </w:tc>
      </w:tr>
    </w:tbl>
    <w:p>
      <w:pPr>
        <w:spacing w:line="360" w:lineRule="exact"/>
        <w:ind w:left="420" w:hanging="420" w:hangingChars="200"/>
        <w:jc w:val="left"/>
        <w:rPr>
          <w:rFonts w:ascii="楷体" w:hAnsi="楷体" w:cs="楷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bookmarkStart w:id="1" w:name="_Hlk510766352"/>
      <w:r>
        <w:rPr>
          <w:rFonts w:hint="eastAsia" w:ascii="宋体" w:hAnsi="宋体" w:cs="宋体"/>
          <w:szCs w:val="21"/>
        </w:rPr>
        <w:t>图片所示的“海上丝绸之路文物”属于。（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：文献史料</w:t>
      </w:r>
      <w:r>
        <w:rPr>
          <w:rFonts w:ascii="宋体" w:hAnsi="宋体" w:cs="宋体"/>
          <w:szCs w:val="21"/>
        </w:rPr>
        <w:t xml:space="preserve">  B</w:t>
      </w:r>
      <w:r>
        <w:rPr>
          <w:rFonts w:hint="eastAsia" w:ascii="宋体" w:hAnsi="宋体" w:cs="宋体"/>
          <w:szCs w:val="21"/>
        </w:rPr>
        <w:t>：实物史料</w:t>
      </w:r>
      <w:r>
        <w:rPr>
          <w:rFonts w:ascii="宋体" w:hAnsi="宋体" w:cs="宋体"/>
          <w:szCs w:val="21"/>
        </w:rPr>
        <w:t xml:space="preserve">  C</w:t>
      </w:r>
      <w:r>
        <w:rPr>
          <w:rFonts w:hint="eastAsia" w:ascii="宋体" w:hAnsi="宋体" w:cs="宋体"/>
          <w:szCs w:val="21"/>
        </w:rPr>
        <w:t>：口述史料）；阅读材料信息，分析海上丝绸之路的作用。</w:t>
      </w:r>
      <w:bookmarkEnd w:id="1"/>
      <w:r>
        <w:rPr>
          <w:rFonts w:hint="eastAsia" w:ascii="宋体" w:hAnsi="宋体" w:cs="宋体"/>
          <w:szCs w:val="21"/>
        </w:rPr>
        <w:t>（3分）</w:t>
      </w:r>
    </w:p>
    <w:p>
      <w:pPr>
        <w:spacing w:line="360" w:lineRule="exact"/>
        <w:rPr>
          <w:rFonts w:ascii="楷体" w:hAnsi="楷体" w:eastAsia="楷体" w:cs="楷体"/>
          <w:bCs/>
          <w:szCs w:val="21"/>
        </w:rPr>
      </w:pPr>
    </w:p>
    <w:p>
      <w:pPr>
        <w:spacing w:line="360" w:lineRule="exact"/>
        <w:rPr>
          <w:rFonts w:ascii="楷体" w:hAnsi="楷体" w:eastAsia="楷体" w:cs="楷体"/>
          <w:bCs/>
          <w:szCs w:val="21"/>
        </w:rPr>
      </w:pPr>
    </w:p>
    <w:p>
      <w:pPr>
        <w:spacing w:line="360" w:lineRule="exact"/>
        <w:rPr>
          <w:rFonts w:ascii="楷体" w:hAnsi="楷体" w:eastAsia="楷体" w:cs="楷体"/>
          <w:bCs/>
          <w:szCs w:val="21"/>
        </w:rPr>
      </w:pPr>
    </w:p>
    <w:p>
      <w:pPr>
        <w:spacing w:line="360" w:lineRule="exact"/>
        <w:rPr>
          <w:rFonts w:ascii="楷体" w:hAnsi="楷体" w:eastAsia="楷体" w:cs="楷体"/>
          <w:bCs/>
          <w:szCs w:val="21"/>
        </w:rPr>
      </w:pPr>
    </w:p>
    <w:p>
      <w:pPr>
        <w:spacing w:line="360" w:lineRule="exact"/>
        <w:rPr>
          <w:rFonts w:ascii="楷体" w:hAnsi="楷体" w:eastAsia="楷体" w:cs="楷体"/>
          <w:bCs/>
          <w:szCs w:val="21"/>
        </w:rPr>
      </w:pPr>
    </w:p>
    <w:p>
      <w:pPr>
        <w:spacing w:line="360" w:lineRule="exact"/>
        <w:rPr>
          <w:rFonts w:ascii="楷体" w:hAnsi="楷体" w:eastAsia="楷体" w:cs="楷体"/>
          <w:bCs/>
          <w:szCs w:val="21"/>
        </w:rPr>
      </w:pPr>
    </w:p>
    <w:p>
      <w:pPr>
        <w:spacing w:line="360" w:lineRule="exact"/>
        <w:rPr>
          <w:rFonts w:ascii="楷体" w:hAnsi="楷体" w:eastAsia="楷体" w:cs="楷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材料二</w:t>
      </w: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100965</wp:posOffset>
            </wp:positionV>
            <wp:extent cx="2568575" cy="1366520"/>
            <wp:effectExtent l="9525" t="9525" r="12700" b="14605"/>
            <wp:wrapSquare wrapText="bothSides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" t="1772" r="2042" b="1904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366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szCs w:val="21"/>
        </w:rPr>
        <w:t>宋朝政府积极鼓励海外贸易，先后在广州、杭州等地设置机构进行管理。宋代海外贸易范围很广，东到朝鲜、日本，西至阿拉伯半岛和非洲东海岸。从西太平洋到印度洋、波斯湾，都航行着来往中国的商船。</w:t>
      </w:r>
    </w:p>
    <w:p>
      <w:pPr>
        <w:spacing w:line="360" w:lineRule="exact"/>
        <w:jc w:val="right"/>
        <w:rPr>
          <w:rFonts w:ascii="楷体" w:hAnsi="楷体" w:eastAsia="楷体" w:cs="楷体"/>
          <w:bCs/>
          <w:szCs w:val="21"/>
        </w:rPr>
      </w:pPr>
      <w:r>
        <w:rPr>
          <w:rFonts w:ascii="楷体" w:hAnsi="楷体" w:eastAsia="楷体" w:cs="楷体"/>
          <w:bCs/>
          <w:szCs w:val="21"/>
        </w:rPr>
        <w:t>——</w:t>
      </w:r>
      <w:r>
        <w:rPr>
          <w:rFonts w:hint="eastAsia" w:ascii="楷体" w:hAnsi="楷体" w:eastAsia="楷体" w:cs="楷体"/>
          <w:bCs/>
          <w:szCs w:val="21"/>
        </w:rPr>
        <w:t>摘编自黄纯艳《宋代海外贸易》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楷体" w:hAnsi="楷体" w:eastAsia="楷体" w:cs="楷体"/>
          <w:szCs w:val="21"/>
        </w:rPr>
      </w:pPr>
      <w:r>
        <w:rPr>
          <w:rFonts w:hint="eastAsia" w:ascii="宋体" w:hAnsi="宋体" w:cs="宋体"/>
          <w:szCs w:val="21"/>
        </w:rPr>
        <w:t>依据材料二，在右图中绘制出宋代海上</w:t>
      </w:r>
      <w:r>
        <w:rPr>
          <w:rFonts w:hint="eastAsia" w:ascii="宋体" w:hAnsi="宋体" w:cs="宋体"/>
          <w:szCs w:val="21"/>
          <w:lang w:val="en-US" w:eastAsia="zh-CN"/>
        </w:rPr>
        <w:t>贸易</w:t>
      </w:r>
      <w:bookmarkStart w:id="2" w:name="_GoBack"/>
      <w:bookmarkEnd w:id="2"/>
      <w:r>
        <w:rPr>
          <w:rFonts w:hint="eastAsia" w:ascii="宋体" w:hAnsi="宋体" w:cs="宋体"/>
          <w:szCs w:val="21"/>
        </w:rPr>
        <w:t>路线示意图。（3分）</w:t>
      </w:r>
    </w:p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</w:p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</w:p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</w:p>
    <w:p>
      <w:pPr>
        <w:tabs>
          <w:tab w:val="left" w:pos="4860"/>
        </w:tabs>
        <w:spacing w:line="360" w:lineRule="exact"/>
        <w:rPr>
          <w:rFonts w:ascii="楷体" w:hAnsi="楷体" w:eastAsia="楷体" w:cs="楷体"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材料三</w:t>
      </w:r>
      <w:r>
        <w:rPr>
          <w:rFonts w:hint="eastAsia" w:ascii="楷体" w:hAnsi="楷体" w:eastAsia="楷体" w:cs="楷体"/>
          <w:szCs w:val="21"/>
        </w:rPr>
        <w:t>习近平“一带一路”高峰论坛系列讲话十大高频词</w:t>
      </w:r>
    </w:p>
    <w:tbl>
      <w:tblPr>
        <w:tblStyle w:val="6"/>
        <w:tblpPr w:leftFromText="180" w:rightFromText="180" w:vertAnchor="text" w:horzAnchor="page" w:tblpX="5065" w:tblpY="338"/>
        <w:tblW w:w="43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97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词语</w:t>
            </w:r>
          </w:p>
        </w:tc>
        <w:tc>
          <w:tcPr>
            <w:tcW w:w="1097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出现次数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词语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出现次数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1. </w:t>
            </w:r>
            <w:r>
              <w:rPr>
                <w:rFonts w:hint="eastAsia" w:ascii="楷体" w:hAnsi="楷体" w:eastAsia="楷体" w:cs="楷体"/>
                <w:szCs w:val="21"/>
              </w:rPr>
              <w:t>合作</w:t>
            </w:r>
          </w:p>
        </w:tc>
        <w:tc>
          <w:tcPr>
            <w:tcW w:w="1097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128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6. </w:t>
            </w:r>
            <w:r>
              <w:rPr>
                <w:rFonts w:hint="eastAsia" w:ascii="楷体" w:hAnsi="楷体" w:eastAsia="楷体" w:cs="楷体"/>
                <w:szCs w:val="21"/>
              </w:rPr>
              <w:t>开放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2. </w:t>
            </w:r>
            <w:r>
              <w:rPr>
                <w:rFonts w:hint="eastAsia" w:ascii="楷体" w:hAnsi="楷体" w:eastAsia="楷体" w:cs="楷体"/>
                <w:szCs w:val="21"/>
              </w:rPr>
              <w:t>发展</w:t>
            </w:r>
          </w:p>
        </w:tc>
        <w:tc>
          <w:tcPr>
            <w:tcW w:w="1097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96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7. </w:t>
            </w:r>
            <w:r>
              <w:rPr>
                <w:rFonts w:hint="eastAsia" w:ascii="楷体" w:hAnsi="楷体" w:eastAsia="楷体" w:cs="楷体"/>
                <w:szCs w:val="21"/>
              </w:rPr>
              <w:t>金融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3. </w:t>
            </w:r>
            <w:r>
              <w:rPr>
                <w:rFonts w:hint="eastAsia" w:ascii="楷体" w:hAnsi="楷体" w:eastAsia="楷体" w:cs="楷体"/>
                <w:szCs w:val="21"/>
              </w:rPr>
              <w:t>建设</w:t>
            </w:r>
          </w:p>
        </w:tc>
        <w:tc>
          <w:tcPr>
            <w:tcW w:w="1097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88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8. </w:t>
            </w:r>
            <w:r>
              <w:rPr>
                <w:rFonts w:hint="eastAsia" w:ascii="楷体" w:hAnsi="楷体" w:eastAsia="楷体" w:cs="楷体"/>
                <w:szCs w:val="21"/>
              </w:rPr>
              <w:t>人民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4. </w:t>
            </w:r>
            <w:r>
              <w:rPr>
                <w:rFonts w:hint="eastAsia" w:ascii="楷体" w:hAnsi="楷体" w:eastAsia="楷体" w:cs="楷体"/>
                <w:szCs w:val="21"/>
              </w:rPr>
              <w:t>共同</w:t>
            </w:r>
          </w:p>
        </w:tc>
        <w:tc>
          <w:tcPr>
            <w:tcW w:w="1097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34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9. </w:t>
            </w:r>
            <w:r>
              <w:rPr>
                <w:rFonts w:hint="eastAsia" w:ascii="楷体" w:hAnsi="楷体" w:eastAsia="楷体" w:cs="楷体"/>
                <w:szCs w:val="21"/>
              </w:rPr>
              <w:t>贸易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5. </w:t>
            </w:r>
            <w:r>
              <w:rPr>
                <w:rFonts w:hint="eastAsia" w:ascii="楷体" w:hAnsi="楷体" w:eastAsia="楷体" w:cs="楷体"/>
                <w:szCs w:val="21"/>
              </w:rPr>
              <w:t>文明</w:t>
            </w:r>
          </w:p>
        </w:tc>
        <w:tc>
          <w:tcPr>
            <w:tcW w:w="1097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26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10. </w:t>
            </w:r>
            <w:r>
              <w:rPr>
                <w:rFonts w:hint="eastAsia" w:ascii="楷体" w:hAnsi="楷体" w:eastAsia="楷体" w:cs="楷体"/>
                <w:szCs w:val="21"/>
              </w:rPr>
              <w:t>和平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17</w:t>
            </w:r>
          </w:p>
        </w:tc>
      </w:tr>
    </w:tbl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80010</wp:posOffset>
            </wp:positionV>
            <wp:extent cx="1545590" cy="1932305"/>
            <wp:effectExtent l="0" t="0" r="16510" b="10795"/>
            <wp:wrapSquare wrapText="bothSides"/>
            <wp:docPr id="15" name="图片 6" descr="http://z1.dfcfw.com/2017/5/14/2017051401421756652236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http://z1.dfcfw.com/2017/5/14/201705140142175665223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</w:p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</w:p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</w:p>
    <w:p>
      <w:pPr>
        <w:spacing w:line="360" w:lineRule="exact"/>
        <w:jc w:val="left"/>
        <w:rPr>
          <w:rFonts w:ascii="楷体" w:hAnsi="楷体" w:eastAsia="楷体" w:cs="楷体"/>
          <w:szCs w:val="21"/>
        </w:rPr>
      </w:pPr>
    </w:p>
    <w:p>
      <w:pPr>
        <w:spacing w:line="360" w:lineRule="exact"/>
        <w:rPr>
          <w:rFonts w:ascii="楷体" w:hAnsi="楷体" w:eastAsia="楷体" w:cs="楷体"/>
          <w:szCs w:val="21"/>
        </w:rPr>
      </w:pPr>
    </w:p>
    <w:p>
      <w:pPr>
        <w:spacing w:line="360" w:lineRule="exact"/>
        <w:rPr>
          <w:rFonts w:ascii="楷体" w:hAnsi="楷体" w:eastAsia="楷体" w:cs="楷体"/>
          <w:szCs w:val="21"/>
        </w:rPr>
      </w:pPr>
    </w:p>
    <w:p>
      <w:pPr>
        <w:spacing w:line="360" w:lineRule="exact"/>
        <w:rPr>
          <w:rFonts w:ascii="楷体" w:hAnsi="楷体" w:eastAsia="楷体" w:cs="楷体"/>
          <w:szCs w:val="21"/>
        </w:rPr>
      </w:pPr>
    </w:p>
    <w:p>
      <w:pPr>
        <w:spacing w:line="360" w:lineRule="exact"/>
        <w:rPr>
          <w:rFonts w:ascii="楷体" w:hAnsi="楷体" w:eastAsia="楷体" w:cs="楷体"/>
          <w:szCs w:val="21"/>
        </w:rPr>
      </w:pPr>
    </w:p>
    <w:p>
      <w:pPr>
        <w:spacing w:line="36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）丝绸之路不仅是商业通道，更重要的是它所体现的“丝路精神”。依据材料三，谈谈你对“丝路精神”的理解。（2分）</w:t>
      </w:r>
    </w:p>
    <w:p>
      <w:pPr>
        <w:adjustRightInd w:val="0"/>
        <w:snapToGrid w:val="0"/>
        <w:jc w:val="left"/>
        <w:rPr>
          <w:rFonts w:ascii="宋体" w:hAnsi="宋体" w:cs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EABF5"/>
    <w:multiLevelType w:val="singleLevel"/>
    <w:tmpl w:val="CACEABF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325"/>
    <w:rsid w:val="00062671"/>
    <w:rsid w:val="001A7B32"/>
    <w:rsid w:val="00202A87"/>
    <w:rsid w:val="00294EDA"/>
    <w:rsid w:val="00324B60"/>
    <w:rsid w:val="005338A5"/>
    <w:rsid w:val="005801CE"/>
    <w:rsid w:val="005C69DA"/>
    <w:rsid w:val="00715A45"/>
    <w:rsid w:val="007D766E"/>
    <w:rsid w:val="00877C7F"/>
    <w:rsid w:val="008E6957"/>
    <w:rsid w:val="00917325"/>
    <w:rsid w:val="0096020C"/>
    <w:rsid w:val="009A7E2E"/>
    <w:rsid w:val="00A26E8E"/>
    <w:rsid w:val="00BD48F7"/>
    <w:rsid w:val="00C44B72"/>
    <w:rsid w:val="00DF6CA0"/>
    <w:rsid w:val="04E734AD"/>
    <w:rsid w:val="10897918"/>
    <w:rsid w:val="32C939E2"/>
    <w:rsid w:val="431C67AA"/>
    <w:rsid w:val="44706C44"/>
    <w:rsid w:val="4F6C44E0"/>
    <w:rsid w:val="642351D1"/>
    <w:rsid w:val="67954491"/>
    <w:rsid w:val="69331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spacing w:before="43"/>
      <w:ind w:left="220"/>
    </w:pPr>
    <w:rPr>
      <w:rFonts w:ascii="宋体" w:hAnsi="宋体" w:cs="宋体"/>
      <w:szCs w:val="21"/>
      <w:lang w:val="zh-CN" w:bidi="zh-CN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cs="宋体"/>
    </w:rPr>
  </w:style>
  <w:style w:type="paragraph" w:styleId="13">
    <w:name w:val="List Paragraph"/>
    <w:basedOn w:val="1"/>
    <w:qFormat/>
    <w:uiPriority w:val="1"/>
    <w:pPr>
      <w:spacing w:before="43"/>
      <w:ind w:left="574" w:hanging="366"/>
    </w:pPr>
    <w:rPr>
      <w:rFonts w:ascii="宋体" w:hAnsi="宋体" w:cs="宋体"/>
      <w:lang w:val="zh-CN" w:bidi="zh-CN"/>
    </w:r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hyperlink" Target="http://finance.eastmoney.com/news/1366,20170514738207167." TargetMode="Externa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1392</Words>
  <Characters>1463</Characters>
  <Lines>12</Lines>
  <Paragraphs>3</Paragraphs>
  <TotalTime>14</TotalTime>
  <ScaleCrop>false</ScaleCrop>
  <LinksUpToDate>false</LinksUpToDate>
  <CharactersWithSpaces>1650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2020-02-09T05:36:00Z</dcterms:created>
  <dc:creator>user</dc:creator>
  <cp:lastModifiedBy>张秀香</cp:lastModifiedBy>
  <cp:lastPrinted>2020-02-14T13:18:00Z</cp:lastPrinted>
  <dcterms:modified xsi:type="dcterms:W3CDTF">2020-04-08T09:28:53Z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