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64" w:rsidRPr="00B048BB" w:rsidRDefault="00D14BDB" w:rsidP="00B048BB">
      <w:pPr>
        <w:spacing w:line="360" w:lineRule="auto"/>
        <w:ind w:firstLineChars="200" w:firstLine="422"/>
        <w:jc w:val="center"/>
        <w:rPr>
          <w:rFonts w:asciiTheme="minorEastAsia" w:eastAsiaTheme="minorEastAsia" w:hAnsiTheme="minorEastAsia"/>
          <w:b/>
          <w:highlight w:val="yellow"/>
        </w:rPr>
      </w:pPr>
      <w:r w:rsidRPr="00B048BB">
        <w:rPr>
          <w:rFonts w:asciiTheme="minorEastAsia" w:eastAsiaTheme="minorEastAsia" w:hAnsiTheme="minorEastAsia" w:hint="eastAsia"/>
          <w:b/>
          <w:highlight w:val="yellow"/>
        </w:rPr>
        <w:t>拓展</w:t>
      </w:r>
      <w:r w:rsidR="00B048BB" w:rsidRPr="00B048BB">
        <w:rPr>
          <w:rFonts w:asciiTheme="minorEastAsia" w:eastAsiaTheme="minorEastAsia" w:hAnsiTheme="minorEastAsia" w:hint="eastAsia"/>
          <w:b/>
          <w:highlight w:val="yellow"/>
        </w:rPr>
        <w:t>资源</w:t>
      </w:r>
    </w:p>
    <w:p w:rsidR="00CF6D53" w:rsidRDefault="00CF6D53" w:rsidP="00CF6D53">
      <w:pPr>
        <w:pStyle w:val="a6"/>
        <w:tabs>
          <w:tab w:val="left" w:pos="4253"/>
        </w:tabs>
        <w:snapToGrid w:val="0"/>
        <w:spacing w:line="360" w:lineRule="auto"/>
        <w:ind w:firstLineChars="200" w:firstLine="422"/>
        <w:rPr>
          <w:rFonts w:ascii="Times New Roman" w:hAnsi="Times New Roman" w:cs="Times New Roman"/>
          <w:b/>
        </w:rPr>
      </w:pPr>
    </w:p>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1</w:t>
      </w:r>
      <w:r>
        <w:rPr>
          <w:rFonts w:asciiTheme="minorEastAsia" w:hAnsiTheme="minorEastAsia" w:hint="eastAsia"/>
          <w:szCs w:val="21"/>
        </w:rPr>
        <w:t>.</w:t>
      </w:r>
      <w:r w:rsidRPr="00252999">
        <w:rPr>
          <w:rFonts w:asciiTheme="minorEastAsia" w:hAnsiTheme="minorEastAsia" w:hint="eastAsia"/>
          <w:szCs w:val="21"/>
        </w:rPr>
        <w:t>历史不会因时代变迁而改变，事实也不会因巧舌抵赖而消失。阅读材料，</w:t>
      </w:r>
      <w:r>
        <w:rPr>
          <w:rFonts w:asciiTheme="minorEastAsia" w:hAnsiTheme="minorEastAsia" w:hint="eastAsia"/>
          <w:szCs w:val="21"/>
        </w:rPr>
        <w:t>完成下列要求</w:t>
      </w:r>
      <w:r w:rsidRPr="00252999">
        <w:rPr>
          <w:rFonts w:asciiTheme="minorEastAsia" w:hAnsiTheme="minorEastAsia" w:hint="eastAsia"/>
          <w:szCs w:val="21"/>
        </w:rPr>
        <w:t>。</w:t>
      </w:r>
    </w:p>
    <w:p w:rsidR="001C7FBB" w:rsidRPr="001C7FBB" w:rsidRDefault="001C7FBB" w:rsidP="001C7FBB">
      <w:pPr>
        <w:spacing w:line="360" w:lineRule="auto"/>
        <w:ind w:firstLineChars="200" w:firstLine="422"/>
        <w:rPr>
          <w:rFonts w:ascii="楷体" w:eastAsia="楷体" w:hAnsi="楷体"/>
          <w:szCs w:val="21"/>
        </w:rPr>
      </w:pPr>
      <w:r w:rsidRPr="001C7FBB">
        <w:rPr>
          <w:rFonts w:ascii="楷体" w:eastAsia="楷体" w:hAnsi="楷体" w:hint="eastAsia"/>
          <w:b/>
          <w:szCs w:val="21"/>
        </w:rPr>
        <w:t>材料</w:t>
      </w:r>
      <w:proofErr w:type="gramStart"/>
      <w:r w:rsidRPr="001C7FBB">
        <w:rPr>
          <w:rFonts w:ascii="楷体" w:eastAsia="楷体" w:hAnsi="楷体" w:hint="eastAsia"/>
          <w:b/>
          <w:szCs w:val="21"/>
        </w:rPr>
        <w:t>一</w:t>
      </w:r>
      <w:proofErr w:type="gramEnd"/>
      <w:r w:rsidRPr="001C7FBB">
        <w:rPr>
          <w:rFonts w:ascii="楷体" w:eastAsia="楷体" w:hAnsi="楷体" w:hint="eastAsia"/>
          <w:szCs w:val="21"/>
        </w:rPr>
        <w:t xml:space="preserve">  日本右翼势力宣称：“在支那事变（指1937～1945年日本侵华战争）发展的过程中，日军……并没有掠夺领土的性质。最重要的是，日本方面并没有掠夺领土的意图。”</w:t>
      </w:r>
    </w:p>
    <w:p w:rsidR="001C7FBB" w:rsidRPr="001C7FBB" w:rsidRDefault="001C7FBB" w:rsidP="001C7FBB">
      <w:pPr>
        <w:spacing w:line="360" w:lineRule="auto"/>
        <w:ind w:firstLineChars="200" w:firstLine="422"/>
        <w:rPr>
          <w:rFonts w:ascii="楷体" w:eastAsia="楷体" w:hAnsi="楷体"/>
          <w:szCs w:val="21"/>
        </w:rPr>
      </w:pPr>
      <w:r w:rsidRPr="001C7FBB">
        <w:rPr>
          <w:rFonts w:ascii="楷体" w:eastAsia="楷体" w:hAnsi="楷体" w:hint="eastAsia"/>
          <w:b/>
          <w:szCs w:val="21"/>
        </w:rPr>
        <w:t xml:space="preserve">材料二 </w:t>
      </w:r>
      <w:r w:rsidRPr="001C7FBB">
        <w:rPr>
          <w:rFonts w:ascii="楷体" w:eastAsia="楷体" w:hAnsi="楷体" w:hint="eastAsia"/>
          <w:szCs w:val="21"/>
        </w:rPr>
        <w:t xml:space="preserve"> 日本右翼势力胡说：“南京大屠杀是20世纪最大的谎言。”</w:t>
      </w:r>
    </w:p>
    <w:p w:rsidR="001C7FBB" w:rsidRPr="001C7FBB" w:rsidRDefault="001C7FBB" w:rsidP="001C7FBB">
      <w:pPr>
        <w:spacing w:line="360" w:lineRule="auto"/>
        <w:ind w:firstLineChars="200" w:firstLine="422"/>
        <w:rPr>
          <w:rFonts w:ascii="楷体" w:eastAsia="楷体" w:hAnsi="楷体"/>
          <w:szCs w:val="21"/>
        </w:rPr>
      </w:pPr>
      <w:r w:rsidRPr="001C7FBB">
        <w:rPr>
          <w:rFonts w:ascii="楷体" w:eastAsia="楷体" w:hAnsi="楷体" w:hint="eastAsia"/>
          <w:b/>
          <w:szCs w:val="21"/>
        </w:rPr>
        <w:t>材料三</w:t>
      </w:r>
      <w:r w:rsidRPr="001C7FBB">
        <w:rPr>
          <w:rFonts w:ascii="楷体" w:eastAsia="楷体" w:hAnsi="楷体" w:hint="eastAsia"/>
          <w:szCs w:val="21"/>
        </w:rPr>
        <w:t xml:space="preserve">  日本军国主义者发动对华侵略，最致命的错误是大大低估了中国民众内部深深蕴藏着的那种无穷无尽的力量，特别是当中华民族处于生死关头时那种万众一心的民族凝聚力。</w:t>
      </w:r>
    </w:p>
    <w:p w:rsidR="001C7FBB" w:rsidRPr="001C7FBB" w:rsidRDefault="001C7FBB" w:rsidP="001C7FBB">
      <w:pPr>
        <w:spacing w:line="360" w:lineRule="auto"/>
        <w:ind w:firstLineChars="200" w:firstLine="420"/>
        <w:rPr>
          <w:rFonts w:ascii="楷体" w:eastAsia="楷体" w:hAnsi="楷体"/>
          <w:szCs w:val="21"/>
        </w:rPr>
      </w:pPr>
      <w:r w:rsidRPr="001C7FBB">
        <w:rPr>
          <w:rFonts w:ascii="楷体" w:eastAsia="楷体" w:hAnsi="楷体" w:hint="eastAsia"/>
          <w:szCs w:val="21"/>
        </w:rPr>
        <w:t>——金冲及《二十世纪中国史纲》</w:t>
      </w:r>
    </w:p>
    <w:p w:rsidR="001C7FBB" w:rsidRPr="001C7FBB" w:rsidRDefault="001C7FBB" w:rsidP="001C7FBB">
      <w:pPr>
        <w:spacing w:line="360" w:lineRule="auto"/>
        <w:ind w:firstLineChars="200" w:firstLine="422"/>
        <w:rPr>
          <w:rFonts w:ascii="楷体" w:eastAsia="楷体" w:hAnsi="楷体"/>
          <w:szCs w:val="21"/>
        </w:rPr>
      </w:pPr>
      <w:r w:rsidRPr="001C7FBB">
        <w:rPr>
          <w:rFonts w:ascii="楷体" w:eastAsia="楷体" w:hAnsi="楷体" w:hint="eastAsia"/>
          <w:b/>
          <w:szCs w:val="21"/>
        </w:rPr>
        <w:t>材料四</w:t>
      </w:r>
      <w:r w:rsidRPr="001C7FBB">
        <w:rPr>
          <w:rFonts w:ascii="楷体" w:eastAsia="楷体" w:hAnsi="楷体" w:hint="eastAsia"/>
          <w:szCs w:val="21"/>
        </w:rPr>
        <w:t xml:space="preserve">  1940年5月，张自忠在宜城壮烈牺牲。张自忠牺牲前给将士们写下了鼓舞士气的抗战家书：“为国家民族死之决心，海不清，石不烂，决不半点改变。”</w:t>
      </w:r>
    </w:p>
    <w:p w:rsidR="001C7FBB" w:rsidRPr="001C7FBB" w:rsidRDefault="001C7FBB" w:rsidP="001C7FBB">
      <w:pPr>
        <w:spacing w:line="360" w:lineRule="auto"/>
        <w:ind w:firstLineChars="200" w:firstLine="422"/>
        <w:rPr>
          <w:rFonts w:ascii="楷体" w:eastAsia="楷体" w:hAnsi="楷体"/>
          <w:szCs w:val="21"/>
        </w:rPr>
      </w:pPr>
      <w:r w:rsidRPr="001C7FBB">
        <w:rPr>
          <w:rFonts w:ascii="楷体" w:eastAsia="楷体" w:hAnsi="楷体" w:hint="eastAsia"/>
          <w:b/>
          <w:szCs w:val="21"/>
        </w:rPr>
        <w:t>材料五</w:t>
      </w:r>
      <w:r w:rsidRPr="001C7FBB">
        <w:rPr>
          <w:rFonts w:ascii="楷体" w:eastAsia="楷体" w:hAnsi="楷体" w:hint="eastAsia"/>
          <w:szCs w:val="21"/>
        </w:rPr>
        <w:t xml:space="preserve">  外交部长王毅回答记者提问时说：“加害者越不忘加害于人的责任，受害者才越有可能平复曾经受到的伤害。……70年前日本输掉了战争，70年后日本不应再输掉良知。”</w:t>
      </w:r>
    </w:p>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（1）结合有关史实，批驳材料一、二中日本右翼分子的谎言。</w:t>
      </w:r>
    </w:p>
    <w:p w:rsidR="001C7FBB" w:rsidRDefault="001C7FBB" w:rsidP="001C7FBB">
      <w:pPr>
        <w:spacing w:line="360" w:lineRule="auto"/>
        <w:ind w:firstLineChars="200" w:firstLine="420"/>
        <w:rPr>
          <w:rFonts w:asciiTheme="minorEastAsia" w:hAnsiTheme="minorEastAsia" w:hint="eastAsia"/>
          <w:szCs w:val="21"/>
        </w:rPr>
      </w:pPr>
    </w:p>
    <w:p w:rsidR="001C7FBB" w:rsidRDefault="001C7FBB" w:rsidP="001C7FBB">
      <w:pPr>
        <w:spacing w:line="360" w:lineRule="auto"/>
        <w:ind w:firstLineChars="200" w:firstLine="420"/>
        <w:rPr>
          <w:rFonts w:asciiTheme="minorEastAsia" w:hAnsiTheme="minorEastAsia" w:hint="eastAsia"/>
          <w:szCs w:val="21"/>
        </w:rPr>
      </w:pPr>
    </w:p>
    <w:p w:rsidR="001C7FBB" w:rsidRPr="00252999" w:rsidRDefault="001C7FBB" w:rsidP="001C7FBB">
      <w:pPr>
        <w:spacing w:line="360" w:lineRule="auto"/>
        <w:ind w:firstLineChars="200" w:firstLine="420"/>
        <w:rPr>
          <w:rFonts w:asciiTheme="minorEastAsia" w:hAnsiTheme="minorEastAsia"/>
          <w:szCs w:val="21"/>
        </w:rPr>
      </w:pPr>
    </w:p>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（2）七七事变爆发前，中国民众是怎样抵抗日本侵略的？材料三中的“民族凝聚力”在政治上的主要表现是什么？</w:t>
      </w:r>
    </w:p>
    <w:p w:rsidR="001C7FBB" w:rsidRDefault="001C7FBB" w:rsidP="001C7FBB">
      <w:pPr>
        <w:spacing w:line="360" w:lineRule="auto"/>
        <w:ind w:firstLineChars="200" w:firstLine="420"/>
        <w:rPr>
          <w:rFonts w:asciiTheme="minorEastAsia" w:hAnsiTheme="minorEastAsia" w:hint="eastAsia"/>
          <w:szCs w:val="21"/>
        </w:rPr>
      </w:pPr>
    </w:p>
    <w:p w:rsidR="001C7FBB" w:rsidRDefault="001C7FBB" w:rsidP="001C7FBB">
      <w:pPr>
        <w:spacing w:line="360" w:lineRule="auto"/>
        <w:ind w:firstLineChars="200" w:firstLine="420"/>
        <w:rPr>
          <w:rFonts w:asciiTheme="minorEastAsia" w:hAnsiTheme="minorEastAsia" w:hint="eastAsia"/>
          <w:szCs w:val="21"/>
        </w:rPr>
      </w:pPr>
    </w:p>
    <w:p w:rsidR="001C7FBB" w:rsidRPr="00252999" w:rsidRDefault="001C7FBB" w:rsidP="001C7FBB">
      <w:pPr>
        <w:spacing w:line="360" w:lineRule="auto"/>
        <w:ind w:firstLineChars="200" w:firstLine="420"/>
        <w:rPr>
          <w:rFonts w:asciiTheme="minorEastAsia" w:hAnsiTheme="minorEastAsia"/>
          <w:szCs w:val="21"/>
        </w:rPr>
      </w:pPr>
    </w:p>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（3）材料四中张自忠的抗战家书体现了怎样的民族精神？</w:t>
      </w:r>
    </w:p>
    <w:p w:rsidR="001C7FBB" w:rsidRDefault="001C7FBB" w:rsidP="001C7FBB">
      <w:pPr>
        <w:spacing w:line="360" w:lineRule="auto"/>
        <w:ind w:firstLineChars="200" w:firstLine="420"/>
        <w:rPr>
          <w:rFonts w:asciiTheme="minorEastAsia" w:hAnsiTheme="minorEastAsia" w:hint="eastAsia"/>
          <w:szCs w:val="21"/>
        </w:rPr>
      </w:pPr>
    </w:p>
    <w:p w:rsidR="001C7FBB" w:rsidRDefault="001C7FBB" w:rsidP="001C7FBB">
      <w:pPr>
        <w:spacing w:line="360" w:lineRule="auto"/>
        <w:ind w:firstLineChars="200" w:firstLine="420"/>
        <w:rPr>
          <w:rFonts w:asciiTheme="minorEastAsia" w:hAnsiTheme="minorEastAsia" w:hint="eastAsia"/>
          <w:szCs w:val="21"/>
        </w:rPr>
      </w:pPr>
    </w:p>
    <w:p w:rsidR="001C7FBB" w:rsidRPr="00252999" w:rsidRDefault="001C7FBB" w:rsidP="001C7FBB">
      <w:pPr>
        <w:spacing w:line="360" w:lineRule="auto"/>
        <w:ind w:firstLineChars="200" w:firstLine="420"/>
        <w:rPr>
          <w:rFonts w:asciiTheme="minorEastAsia" w:hAnsiTheme="minorEastAsia"/>
          <w:szCs w:val="21"/>
        </w:rPr>
      </w:pPr>
    </w:p>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（4）根据材料五并结合所学知识，你认为日本怎样做才不“输掉良知”？</w:t>
      </w:r>
    </w:p>
    <w:p w:rsidR="001C7FBB" w:rsidRPr="001C7FBB" w:rsidRDefault="001C7FBB" w:rsidP="001C7FBB">
      <w:pPr>
        <w:spacing w:line="360" w:lineRule="auto"/>
        <w:ind w:firstLineChars="200" w:firstLine="420"/>
        <w:rPr>
          <w:rFonts w:asciiTheme="minorEastAsia" w:hAnsiTheme="minorEastAsia"/>
          <w:szCs w:val="21"/>
        </w:rPr>
      </w:pPr>
    </w:p>
    <w:p w:rsidR="001C7FBB" w:rsidRDefault="001C7FBB" w:rsidP="001C7FBB">
      <w:pPr>
        <w:spacing w:line="360" w:lineRule="auto"/>
        <w:ind w:firstLineChars="200" w:firstLine="420"/>
        <w:rPr>
          <w:rFonts w:asciiTheme="minorEastAsia" w:hAnsiTheme="minorEastAsia" w:hint="eastAsia"/>
          <w:szCs w:val="21"/>
        </w:rPr>
      </w:pPr>
    </w:p>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2. 阅读材料，回答问题:</w:t>
      </w:r>
    </w:p>
    <w:p w:rsidR="001C7FBB" w:rsidRPr="001C7FBB" w:rsidRDefault="001C7FBB" w:rsidP="001C7FBB">
      <w:pPr>
        <w:spacing w:line="360" w:lineRule="auto"/>
        <w:ind w:firstLineChars="200" w:firstLine="422"/>
        <w:rPr>
          <w:rFonts w:ascii="楷体" w:eastAsia="楷体" w:hAnsi="楷体"/>
          <w:szCs w:val="21"/>
        </w:rPr>
      </w:pPr>
      <w:r w:rsidRPr="001C7FBB">
        <w:rPr>
          <w:rFonts w:ascii="楷体" w:eastAsia="楷体" w:hAnsi="楷体" w:hint="eastAsia"/>
          <w:b/>
          <w:szCs w:val="21"/>
        </w:rPr>
        <w:t>材料</w:t>
      </w:r>
      <w:r w:rsidRPr="001C7FBB">
        <w:rPr>
          <w:rFonts w:ascii="楷体" w:eastAsia="楷体" w:hAnsi="楷体" w:hint="eastAsia"/>
          <w:szCs w:val="21"/>
        </w:rPr>
        <w:t xml:space="preserve">　中国20世纪30年代大事记(部分)</w:t>
      </w:r>
    </w:p>
    <w:tbl>
      <w:tblPr>
        <w:tblW w:w="4789"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7204"/>
      </w:tblGrid>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时间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主要事件</w:t>
            </w:r>
          </w:p>
        </w:tc>
      </w:tr>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1931年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国民党第二次、第三次“围剿”红军；九一八事变；中华苏维埃共和国成立</w:t>
            </w:r>
          </w:p>
        </w:tc>
      </w:tr>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1932年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一二八事变；伪满洲国建立</w:t>
            </w:r>
          </w:p>
        </w:tc>
      </w:tr>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1933年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国民党第四次、第五次“围剿”红军；日本蚕食长城沿线;长城抗战</w:t>
            </w:r>
          </w:p>
        </w:tc>
      </w:tr>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1935年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《何梅协定》签订；华北事变；中国共产党发表“八一宣言”；一二</w:t>
            </w:r>
            <w:r w:rsidRPr="001C7FBB">
              <w:rPr>
                <w:rFonts w:ascii="楷体" w:eastAsia="楷体" w:hAnsi="楷体"/>
                <w:szCs w:val="21"/>
              </w:rPr>
              <w:t>·</w:t>
            </w:r>
            <w:r w:rsidRPr="001C7FBB">
              <w:rPr>
                <w:rFonts w:ascii="楷体" w:eastAsia="楷体" w:hAnsi="楷体" w:hint="eastAsia"/>
                <w:szCs w:val="21"/>
              </w:rPr>
              <w:t>九运动；中共中央到达陕北;中共中央召开瓦窑堡会议</w:t>
            </w:r>
          </w:p>
        </w:tc>
      </w:tr>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1936年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平津学生南下抗日宣讲；上海文化界救国会宣言，提出停止“一切内战,对敌经济绝交”等12条主张；红军长征会师;红军东征抗日;西安事变</w:t>
            </w:r>
          </w:p>
        </w:tc>
      </w:tr>
      <w:tr w:rsidR="001C7FBB" w:rsidRPr="001C7FBB" w:rsidTr="001C7FBB">
        <w:trPr>
          <w:jc w:val="center"/>
        </w:trPr>
        <w:tc>
          <w:tcPr>
            <w:tcW w:w="587"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1937年</w:t>
            </w:r>
          </w:p>
        </w:tc>
        <w:tc>
          <w:tcPr>
            <w:tcW w:w="4413" w:type="pct"/>
            <w:vAlign w:val="center"/>
          </w:tcPr>
          <w:p w:rsidR="001C7FBB" w:rsidRPr="001C7FBB" w:rsidRDefault="001C7FBB" w:rsidP="001C7FBB">
            <w:pPr>
              <w:spacing w:line="360" w:lineRule="auto"/>
              <w:rPr>
                <w:rFonts w:ascii="楷体" w:eastAsia="楷体" w:hAnsi="楷体"/>
                <w:szCs w:val="21"/>
              </w:rPr>
            </w:pPr>
            <w:r w:rsidRPr="001C7FBB">
              <w:rPr>
                <w:rFonts w:ascii="楷体" w:eastAsia="楷体" w:hAnsi="楷体" w:hint="eastAsia"/>
                <w:szCs w:val="21"/>
              </w:rPr>
              <w:t>七七事变;八一三事变；国民政府发表《自卫抗战声明书》；国共合作宣言发表</w:t>
            </w:r>
          </w:p>
        </w:tc>
      </w:tr>
    </w:tbl>
    <w:p w:rsidR="001C7FBB" w:rsidRPr="00252999" w:rsidRDefault="001C7FBB" w:rsidP="001C7FBB">
      <w:pPr>
        <w:spacing w:line="360" w:lineRule="auto"/>
        <w:ind w:firstLineChars="200" w:firstLine="420"/>
        <w:rPr>
          <w:rFonts w:asciiTheme="minorEastAsia" w:hAnsiTheme="minorEastAsia"/>
          <w:szCs w:val="21"/>
        </w:rPr>
      </w:pPr>
      <w:r w:rsidRPr="00252999">
        <w:rPr>
          <w:rFonts w:asciiTheme="minorEastAsia" w:hAnsiTheme="minorEastAsia" w:hint="eastAsia"/>
          <w:szCs w:val="21"/>
        </w:rPr>
        <w:t>根据材料并结合所学知识，以“国民政府参与抗战的原因”为论题，提出你的观点并予以论证。(要求观点明确，史论结合，史实准确,逻辑清晰)</w:t>
      </w:r>
    </w:p>
    <w:p w:rsidR="00CF6D53" w:rsidRDefault="00CF6D53" w:rsidP="001C7FBB">
      <w:pPr>
        <w:pStyle w:val="a6"/>
        <w:tabs>
          <w:tab w:val="left" w:pos="4253"/>
        </w:tabs>
        <w:snapToGrid w:val="0"/>
        <w:spacing w:line="360" w:lineRule="auto"/>
        <w:ind w:firstLineChars="200" w:firstLine="422"/>
        <w:rPr>
          <w:rFonts w:asciiTheme="minorEastAsia" w:eastAsiaTheme="minorEastAsia" w:hAnsiTheme="minorEastAsia" w:hint="eastAsia"/>
          <w:b/>
          <w:bCs/>
          <w:color w:val="FF0000"/>
        </w:rPr>
      </w:pPr>
    </w:p>
    <w:p w:rsidR="001C7FBB" w:rsidRDefault="001C7FBB" w:rsidP="001C7FBB">
      <w:pPr>
        <w:pStyle w:val="a6"/>
        <w:tabs>
          <w:tab w:val="left" w:pos="4253"/>
        </w:tabs>
        <w:snapToGrid w:val="0"/>
        <w:spacing w:line="360" w:lineRule="auto"/>
        <w:ind w:firstLineChars="200" w:firstLine="422"/>
        <w:rPr>
          <w:rFonts w:asciiTheme="minorEastAsia" w:eastAsiaTheme="minorEastAsia" w:hAnsiTheme="minorEastAsia" w:hint="eastAsia"/>
          <w:b/>
          <w:bCs/>
          <w:color w:val="FF0000"/>
        </w:rPr>
      </w:pPr>
    </w:p>
    <w:p w:rsidR="001C7FBB" w:rsidRDefault="001C7FBB" w:rsidP="001C7FBB">
      <w:pPr>
        <w:pStyle w:val="a6"/>
        <w:tabs>
          <w:tab w:val="left" w:pos="4253"/>
        </w:tabs>
        <w:snapToGrid w:val="0"/>
        <w:spacing w:line="360" w:lineRule="auto"/>
        <w:ind w:firstLineChars="200" w:firstLine="422"/>
        <w:rPr>
          <w:rFonts w:asciiTheme="minorEastAsia" w:eastAsiaTheme="minorEastAsia" w:hAnsiTheme="minorEastAsia" w:hint="eastAsia"/>
          <w:b/>
          <w:bCs/>
          <w:color w:val="FF0000"/>
        </w:rPr>
      </w:pP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color w:val="FF0000"/>
        </w:rPr>
      </w:pPr>
      <w:r w:rsidRPr="001C7FBB">
        <w:rPr>
          <w:rFonts w:asciiTheme="minorEastAsia" w:eastAsiaTheme="minorEastAsia" w:hAnsiTheme="minorEastAsia" w:hint="eastAsia"/>
          <w:bCs/>
          <w:color w:val="FF0000"/>
        </w:rPr>
        <w:t>【</w:t>
      </w:r>
      <w:r w:rsidRPr="001C7FBB">
        <w:rPr>
          <w:rFonts w:asciiTheme="minorEastAsia" w:eastAsiaTheme="minorEastAsia" w:hAnsiTheme="minorEastAsia" w:hint="eastAsia"/>
          <w:bCs/>
          <w:color w:val="FF0000"/>
        </w:rPr>
        <w:t>参考答案</w:t>
      </w:r>
      <w:r w:rsidRPr="001C7FBB">
        <w:rPr>
          <w:rFonts w:asciiTheme="minorEastAsia" w:eastAsiaTheme="minorEastAsia" w:hAnsiTheme="minorEastAsia" w:hint="eastAsia"/>
          <w:bCs/>
          <w:color w:val="FF0000"/>
        </w:rPr>
        <w:t>】</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1. （1）批驳材料</w:t>
      </w:r>
      <w:proofErr w:type="gramStart"/>
      <w:r w:rsidRPr="001C7FBB">
        <w:rPr>
          <w:rFonts w:asciiTheme="minorEastAsia" w:eastAsiaTheme="minorEastAsia" w:hAnsiTheme="minorEastAsia" w:hint="eastAsia"/>
          <w:bCs/>
        </w:rPr>
        <w:t>一</w:t>
      </w:r>
      <w:proofErr w:type="gramEnd"/>
      <w:r w:rsidRPr="001C7FBB">
        <w:rPr>
          <w:rFonts w:asciiTheme="minorEastAsia" w:eastAsiaTheme="minorEastAsia" w:hAnsiTheme="minorEastAsia" w:hint="eastAsia"/>
          <w:bCs/>
        </w:rPr>
        <w:t>观点：日本在发动全面侵华战争前已经侵占中国东北；全面侵华战争爆发后，又占领中国华北、华中和华南的大片领土。批驳材料二观点：据战后远东国际军事法庭统计，日军占领南京后六周之内，屠杀手无寸铁的中国居民和放下武器的士兵达三十万人以上。</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2）九一八事变后，东北人民和未撤走的东北军部队，组织起抗日义勇军，抵抗日军的侵略；九一八事变后，中国共产党派杨靖宇等在东北组织游击队，开展抗日游击战争。主要表现：国共两党合作，建立抗日民族统一战线。</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（3）天下兴亡、匹夫有责的爱国精神；百折不挠、愈挫愈奋的必胜信念；不畏强暴、血战到底的英雄气概；视死如归、杀身成仁的崇高气节等。</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（4）正视历史，以史为鉴，反省战争罪行；信守和平承诺，做一个负责任的国家；</w:t>
      </w:r>
      <w:proofErr w:type="gramStart"/>
      <w:r w:rsidRPr="001C7FBB">
        <w:rPr>
          <w:rFonts w:asciiTheme="minorEastAsia" w:eastAsiaTheme="minorEastAsia" w:hAnsiTheme="minorEastAsia" w:hint="eastAsia"/>
          <w:bCs/>
        </w:rPr>
        <w:t>真诚向</w:t>
      </w:r>
      <w:proofErr w:type="gramEnd"/>
      <w:r w:rsidRPr="001C7FBB">
        <w:rPr>
          <w:rFonts w:asciiTheme="minorEastAsia" w:eastAsiaTheme="minorEastAsia" w:hAnsiTheme="minorEastAsia" w:hint="eastAsia"/>
          <w:bCs/>
        </w:rPr>
        <w:t>受害国道歉，主动承担历史责任等。</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2. 示例</w:t>
      </w:r>
      <w:proofErr w:type="gramStart"/>
      <w:r w:rsidRPr="001C7FBB">
        <w:rPr>
          <w:rFonts w:asciiTheme="minorEastAsia" w:eastAsiaTheme="minorEastAsia" w:hAnsiTheme="minorEastAsia" w:hint="eastAsia"/>
          <w:bCs/>
        </w:rPr>
        <w:t>一</w:t>
      </w:r>
      <w:proofErr w:type="gramEnd"/>
      <w:r w:rsidRPr="001C7FBB">
        <w:rPr>
          <w:rFonts w:asciiTheme="minorEastAsia" w:eastAsiaTheme="minorEastAsia" w:hAnsiTheme="minorEastAsia" w:hint="eastAsia"/>
          <w:bCs/>
        </w:rPr>
        <w:t>:</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观点:国民政府参与抗战是因为日本侵略触及国民政府的核心利益。</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lastRenderedPageBreak/>
        <w:t>阐述:日本自1931年发动九一八事变以来,不断扩大对中国的侵略,国民政府均以“‘围剿’红军”为首要任务,对日采取“不抵抗”政策,实行“攘外必先安内”政策;直到1937年七七事变,尤其是日本进攻上海的八一三事变之后,才彻底改变了对日政策。这是因为日本进攻上海,上海既是中国的经济重心所在,又临近南京政府的政治中心,已经严重威胁南京政府的统治,所以蒋介石政府发表《自卫抗战声明书》,宣布实行自卫,抵抗暴力;日本不断加大对华侵略,人民反日情绪高涨,为避免中国共产党影响力的继续扩大,国民政府参与抗战,这也是从维护其统治出发。</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结论:以上史实证明,任何一个政府的任何一个政策,均是为了维护本阶级的既得利益。</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示例二:</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观点:国民政府参与抗战是因为中国共产党停止内战,一致抗日政策的感召。</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阐述:自国民大革命失败,国共合作破裂以来,因国共两党代表的阶级利益不同,国民政府均以“‘围剿’红军”为首要任务,国内处于国共对峙的军事斗争之中;面对日本的侵略,民族危机的不断加深,中国共产党首先调整了对国民党的政策,提出“停止内战,一致抗日”的主张并确定建立抗日民族统一战线政策,得到全国人民的一致认同;国民党内部的高级将领发动“西安事变”,在中国共产党调解下和平解决,标志着抗日民族统一战线的初步建立;七七事变后,中国共产党提出“国共合作宣言”,被南京政府接受并公布,标志着抗日民族统一战线的正式形成。</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结论:这说明,在民族危机空前严重的情况下,并在中国共产党的号召下,国内各党派能够暂时放下争议,共同应对民族共同的敌人。</w:t>
      </w:r>
    </w:p>
    <w:p w:rsid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hint="eastAsia"/>
          <w:bCs/>
        </w:rPr>
      </w:pPr>
      <w:r w:rsidRPr="001C7FBB">
        <w:rPr>
          <w:rFonts w:asciiTheme="minorEastAsia" w:eastAsiaTheme="minorEastAsia" w:hAnsiTheme="minorEastAsia" w:hint="eastAsia"/>
          <w:bCs/>
        </w:rPr>
        <w:t>其他观点:国民政府参与抗战是因为国内主要矛盾的变化;国民政府参与抗战是因为争取民心的需要等,言之有理均可。</w:t>
      </w:r>
    </w:p>
    <w:p w:rsidR="001C7FBB" w:rsidRPr="001C7FBB" w:rsidRDefault="001C7FBB" w:rsidP="001C7FBB">
      <w:pPr>
        <w:pStyle w:val="a6"/>
        <w:tabs>
          <w:tab w:val="left" w:pos="4253"/>
        </w:tabs>
        <w:snapToGrid w:val="0"/>
        <w:spacing w:line="360" w:lineRule="auto"/>
        <w:ind w:firstLineChars="200" w:firstLine="420"/>
        <w:rPr>
          <w:rFonts w:asciiTheme="minorEastAsia" w:eastAsiaTheme="minorEastAsia" w:hAnsiTheme="minorEastAsia"/>
          <w:bCs/>
        </w:rPr>
      </w:pPr>
      <w:bookmarkStart w:id="0" w:name="_GoBack"/>
      <w:bookmarkEnd w:id="0"/>
    </w:p>
    <w:sectPr w:rsidR="001C7FBB" w:rsidRPr="001C7F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3B4" w:rsidRDefault="002B43B4" w:rsidP="00B048BB">
      <w:r>
        <w:separator/>
      </w:r>
    </w:p>
  </w:endnote>
  <w:endnote w:type="continuationSeparator" w:id="0">
    <w:p w:rsidR="002B43B4" w:rsidRDefault="002B43B4" w:rsidP="00B0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3B4" w:rsidRDefault="002B43B4" w:rsidP="00B048BB">
      <w:r>
        <w:separator/>
      </w:r>
    </w:p>
  </w:footnote>
  <w:footnote w:type="continuationSeparator" w:id="0">
    <w:p w:rsidR="002B43B4" w:rsidRDefault="002B43B4" w:rsidP="00B04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64"/>
    <w:rsid w:val="001C7FBB"/>
    <w:rsid w:val="002B43B4"/>
    <w:rsid w:val="00330C83"/>
    <w:rsid w:val="00702764"/>
    <w:rsid w:val="00A50894"/>
    <w:rsid w:val="00A56652"/>
    <w:rsid w:val="00B048BB"/>
    <w:rsid w:val="00CF6D53"/>
    <w:rsid w:val="00D14BDB"/>
    <w:rsid w:val="1B0B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048BB"/>
    <w:rPr>
      <w:sz w:val="18"/>
      <w:szCs w:val="18"/>
    </w:rPr>
  </w:style>
  <w:style w:type="character" w:customStyle="1" w:styleId="Char">
    <w:name w:val="批注框文本 Char"/>
    <w:basedOn w:val="a0"/>
    <w:link w:val="a3"/>
    <w:rsid w:val="00B048BB"/>
    <w:rPr>
      <w:kern w:val="2"/>
      <w:sz w:val="18"/>
      <w:szCs w:val="18"/>
    </w:rPr>
  </w:style>
  <w:style w:type="paragraph" w:styleId="a4">
    <w:name w:val="header"/>
    <w:basedOn w:val="a"/>
    <w:link w:val="Char0"/>
    <w:uiPriority w:val="99"/>
    <w:unhideWhenUsed/>
    <w:qFormat/>
    <w:rsid w:val="00B048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48BB"/>
    <w:rPr>
      <w:kern w:val="2"/>
      <w:sz w:val="18"/>
      <w:szCs w:val="18"/>
    </w:rPr>
  </w:style>
  <w:style w:type="paragraph" w:styleId="a5">
    <w:name w:val="footer"/>
    <w:basedOn w:val="a"/>
    <w:link w:val="Char1"/>
    <w:uiPriority w:val="99"/>
    <w:unhideWhenUsed/>
    <w:rsid w:val="00B048BB"/>
    <w:pPr>
      <w:tabs>
        <w:tab w:val="center" w:pos="4153"/>
        <w:tab w:val="right" w:pos="8306"/>
      </w:tabs>
      <w:snapToGrid w:val="0"/>
      <w:jc w:val="left"/>
    </w:pPr>
    <w:rPr>
      <w:sz w:val="18"/>
      <w:szCs w:val="18"/>
    </w:rPr>
  </w:style>
  <w:style w:type="character" w:customStyle="1" w:styleId="Char1">
    <w:name w:val="页脚 Char"/>
    <w:basedOn w:val="a0"/>
    <w:link w:val="a5"/>
    <w:uiPriority w:val="99"/>
    <w:rsid w:val="00B048BB"/>
    <w:rPr>
      <w:kern w:val="2"/>
      <w:sz w:val="18"/>
      <w:szCs w:val="18"/>
    </w:rPr>
  </w:style>
  <w:style w:type="paragraph" w:styleId="a6">
    <w:name w:val="Plain Text"/>
    <w:basedOn w:val="a"/>
    <w:link w:val="Char2"/>
    <w:uiPriority w:val="99"/>
    <w:unhideWhenUsed/>
    <w:rsid w:val="00A56652"/>
    <w:rPr>
      <w:rFonts w:ascii="宋体" w:hAnsi="Courier New" w:cs="Courier New"/>
      <w:szCs w:val="21"/>
    </w:rPr>
  </w:style>
  <w:style w:type="character" w:customStyle="1" w:styleId="Char2">
    <w:name w:val="纯文本 Char"/>
    <w:basedOn w:val="a0"/>
    <w:link w:val="a6"/>
    <w:uiPriority w:val="99"/>
    <w:rsid w:val="00A56652"/>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048BB"/>
    <w:rPr>
      <w:sz w:val="18"/>
      <w:szCs w:val="18"/>
    </w:rPr>
  </w:style>
  <w:style w:type="character" w:customStyle="1" w:styleId="Char">
    <w:name w:val="批注框文本 Char"/>
    <w:basedOn w:val="a0"/>
    <w:link w:val="a3"/>
    <w:rsid w:val="00B048BB"/>
    <w:rPr>
      <w:kern w:val="2"/>
      <w:sz w:val="18"/>
      <w:szCs w:val="18"/>
    </w:rPr>
  </w:style>
  <w:style w:type="paragraph" w:styleId="a4">
    <w:name w:val="header"/>
    <w:basedOn w:val="a"/>
    <w:link w:val="Char0"/>
    <w:uiPriority w:val="99"/>
    <w:unhideWhenUsed/>
    <w:qFormat/>
    <w:rsid w:val="00B048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48BB"/>
    <w:rPr>
      <w:kern w:val="2"/>
      <w:sz w:val="18"/>
      <w:szCs w:val="18"/>
    </w:rPr>
  </w:style>
  <w:style w:type="paragraph" w:styleId="a5">
    <w:name w:val="footer"/>
    <w:basedOn w:val="a"/>
    <w:link w:val="Char1"/>
    <w:uiPriority w:val="99"/>
    <w:unhideWhenUsed/>
    <w:rsid w:val="00B048BB"/>
    <w:pPr>
      <w:tabs>
        <w:tab w:val="center" w:pos="4153"/>
        <w:tab w:val="right" w:pos="8306"/>
      </w:tabs>
      <w:snapToGrid w:val="0"/>
      <w:jc w:val="left"/>
    </w:pPr>
    <w:rPr>
      <w:sz w:val="18"/>
      <w:szCs w:val="18"/>
    </w:rPr>
  </w:style>
  <w:style w:type="character" w:customStyle="1" w:styleId="Char1">
    <w:name w:val="页脚 Char"/>
    <w:basedOn w:val="a0"/>
    <w:link w:val="a5"/>
    <w:uiPriority w:val="99"/>
    <w:rsid w:val="00B048BB"/>
    <w:rPr>
      <w:kern w:val="2"/>
      <w:sz w:val="18"/>
      <w:szCs w:val="18"/>
    </w:rPr>
  </w:style>
  <w:style w:type="paragraph" w:styleId="a6">
    <w:name w:val="Plain Text"/>
    <w:basedOn w:val="a"/>
    <w:link w:val="Char2"/>
    <w:uiPriority w:val="99"/>
    <w:unhideWhenUsed/>
    <w:rsid w:val="00A56652"/>
    <w:rPr>
      <w:rFonts w:ascii="宋体" w:hAnsi="Courier New" w:cs="Courier New"/>
      <w:szCs w:val="21"/>
    </w:rPr>
  </w:style>
  <w:style w:type="character" w:customStyle="1" w:styleId="Char2">
    <w:name w:val="纯文本 Char"/>
    <w:basedOn w:val="a0"/>
    <w:link w:val="a6"/>
    <w:uiPriority w:val="99"/>
    <w:rsid w:val="00A5665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308</Words>
  <Characters>1759</Characters>
  <Application>Microsoft Office Word</Application>
  <DocSecurity>0</DocSecurity>
  <Lines>14</Lines>
  <Paragraphs>4</Paragraphs>
  <ScaleCrop>false</ScaleCrop>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2020-03-11T22:05:00Z</dcterms:created>
  <dcterms:modified xsi:type="dcterms:W3CDTF">2020-03-28T00:58:00Z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