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F9" w:rsidRDefault="00EA1452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高一年级政治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第</w:t>
      </w:r>
      <w:r>
        <w:rPr>
          <w:rFonts w:ascii="宋体" w:eastAsia="宋体" w:hAnsi="宋体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4课时</w:t>
      </w:r>
    </w:p>
    <w:p w:rsidR="00F81BF9" w:rsidRDefault="00EA1452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《综合探究</w:t>
      </w:r>
      <w:r w:rsidR="00ED0521">
        <w:rPr>
          <w:rFonts w:ascii="宋体" w:eastAsia="宋体" w:hAnsi="宋体"/>
          <w:b/>
          <w:bCs/>
          <w:sz w:val="24"/>
          <w:szCs w:val="24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ED0521"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宏观调控有度》</w:t>
      </w:r>
    </w:p>
    <w:p w:rsidR="00F81BF9" w:rsidRDefault="00EA1452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3课后巩固</w:t>
      </w:r>
    </w:p>
    <w:p w:rsidR="00F81BF9" w:rsidRDefault="00EA145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一、填空</w:t>
      </w:r>
    </w:p>
    <w:p w:rsidR="00F81BF9" w:rsidRPr="00386D65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1. 宏观调控的主要目标相互</w:t>
      </w:r>
      <w:bookmarkStart w:id="0" w:name="_GoBack"/>
      <w:bookmarkEnd w:id="0"/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、相互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2. 当经济繁荣时，经济增长速度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，就业率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，但可能伴随较高的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3. 当经济不景气时，虽然物价稳定，但经济增长率可能会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会上升。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4. 为了让宏观经济运行保持在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要创新和完善宏观调控，发挥国家发展规划的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作用，        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健全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等经济政策协调机制，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增强宏观调控的前瞻性、针对性、协同性，</w:t>
      </w:r>
    </w:p>
    <w:p w:rsidR="00F81BF9" w:rsidRDefault="00EA1452">
      <w:pPr>
        <w:snapToGrid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实施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的宏观调控。</w:t>
      </w:r>
    </w:p>
    <w:p w:rsidR="00F81BF9" w:rsidRDefault="00F81BF9">
      <w:pPr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F81BF9" w:rsidRDefault="00EA145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二、问答题（选做）</w:t>
      </w:r>
    </w:p>
    <w:p w:rsidR="00F81BF9" w:rsidRDefault="00EA1452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江苏省睢宁县沙集镇曾经是一个贫困的农业镇，2006年前主要从事废旧塑料回收和加工，生态环境不堪重负。从2007年第一个开家具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淘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宝店的农户尝到甜头起，年轻人纷纷加入了“淘宝大军”，开启电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商创业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大幕。随着市场的变化，该镇电商经营模式经历了从赚取购销差价到产销结合、自产自销，再到重视创意和知识产权三个阶段。为使电商企业健康发展，睢宁县政府开展了产品质量提升和环保达标活动，对信用良好的电商给予专项财政支持。2008至2017年，全镇工业总产值以年均16．7%的速度持续增长，物流、商贸等相关服务业得到快速发展，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沙集正成为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一个富裕美丽的新沙集。</w:t>
      </w:r>
    </w:p>
    <w:p w:rsidR="00F81BF9" w:rsidRDefault="00EA1452">
      <w:pPr>
        <w:widowControl/>
        <w:spacing w:line="240" w:lineRule="atLeas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运用《经济生活》知识，说明该地是如何建设富裕美丽新沙集的。</w:t>
      </w:r>
      <w:r w:rsidR="00386D65">
        <w:rPr>
          <w:rFonts w:hint="eastAsia"/>
          <w:b/>
          <w:bCs/>
        </w:rPr>
        <w:t xml:space="preserve"> </w:t>
      </w: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386D65" w:rsidRDefault="00386D65">
      <w:pPr>
        <w:widowControl/>
        <w:spacing w:line="240" w:lineRule="atLeast"/>
        <w:ind w:firstLineChars="200" w:firstLine="422"/>
        <w:jc w:val="left"/>
        <w:rPr>
          <w:b/>
          <w:bCs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EA1452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2. </w:t>
      </w:r>
      <w:r>
        <w:rPr>
          <w:rFonts w:ascii="宋体" w:eastAsia="宋体" w:hAnsi="宋体" w:hint="eastAsia"/>
          <w:b/>
          <w:bCs/>
          <w:sz w:val="24"/>
          <w:szCs w:val="24"/>
        </w:rPr>
        <w:t>阅读材料,完成下列要求。</w:t>
      </w:r>
      <w:r w:rsidR="003468D8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F81BF9" w:rsidRDefault="00EA1452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138430</wp:posOffset>
            </wp:positionV>
            <wp:extent cx="3943985" cy="1850390"/>
            <wp:effectExtent l="0" t="0" r="18415" b="165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EA1452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 xml:space="preserve"> </w:t>
      </w: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为推进供给结构性改革,国家实施了全面推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行营改增等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内容的降税减负政策,截止2017年底累计减税超过2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万亿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元。2018年3月,国务院政府工作报告明确提出,要进一步为企业降税减负,全年要再减税8000亿元。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近两年,国家在为企业降税减负的同时,财政收入继续稳定增长,2016年财政收入比上年增长4.8%,2017年比上年增长7.4%(同口径)。</w:t>
      </w:r>
    </w:p>
    <w:p w:rsidR="00F81BF9" w:rsidRDefault="00EA1452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(1)简要说明材料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包含的经济信息。</w:t>
      </w:r>
      <w:r w:rsidR="00386D65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F81BF9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F81BF9" w:rsidRDefault="00EA1452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(2)结合材料,分析企业税负降低与财政收入增长之间的经济联系。</w:t>
      </w:r>
      <w:r w:rsidR="00386D65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386D65" w:rsidRDefault="00386D65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在2016年的“国家账本”财政预算报告中有三大热词：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◆热词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一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：减税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全面推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开营改增等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改革举措，预计全年减负5000亿元。将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营改增试点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范围扩大到建筑业、房地产业、金融业、生活服务业，并将所有企业新增不动产所含增值税纳入抵扣范围，确保所有行业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税负只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减不增。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◆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热词二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：赤字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我国的赤字率首次达到3%，比2015年提高0.6个百分点，是改革开放以来最高的一年。但与世界其他主要经济体相比并不高。根据报告，2016年我国财政赤字拟安排2.18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万亿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元，比2015年增加5600亿元，从资金用途看，新增债务主要用于市政建设、保障性住房等基础性、公益性项目。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◆</w:t>
      </w:r>
      <w:proofErr w:type="gramStart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热词三</w:t>
      </w:r>
      <w:proofErr w:type="gramEnd"/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：花钱</w:t>
      </w:r>
    </w:p>
    <w:p w:rsidR="00F81BF9" w:rsidRDefault="00EA1452">
      <w:pPr>
        <w:widowControl/>
        <w:spacing w:line="240" w:lineRule="atLeast"/>
        <w:ind w:firstLineChars="200" w:firstLine="480"/>
        <w:jc w:val="left"/>
        <w:rPr>
          <w:rFonts w:ascii="楷体" w:eastAsia="楷体" w:hAnsi="楷体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kern w:val="0"/>
          <w:sz w:val="24"/>
          <w:szCs w:val="24"/>
        </w:rPr>
        <w:t>主要用于保障政府应该承担的支出责任和增加必要财政支出。比如，在支持脱贫攻坚方面，今年中央财政扶贫资金增加201亿元，增长43.4％；企业和机关事业单位退休人员养老金水平仍将提高6.5％左右，中央财政设立1000亿元专项资金，用于对钢铁和煤炭两个行业180万下岗分流人员进行妥善安置，为他们创业和再就业提供必要支持。</w:t>
      </w:r>
    </w:p>
    <w:p w:rsidR="00F81BF9" w:rsidRDefault="00EA1452">
      <w:pPr>
        <w:widowControl/>
        <w:spacing w:line="240" w:lineRule="atLeas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从三个热词中任选一个，结合材料，论述其经济影响。</w:t>
      </w:r>
      <w:r w:rsidR="003468D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F81BF9" w:rsidRDefault="00F81BF9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sectPr w:rsidR="00F81BF9">
      <w:footerReference w:type="default" r:id="rId9"/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C0" w:rsidRDefault="008258C0">
      <w:r>
        <w:separator/>
      </w:r>
    </w:p>
  </w:endnote>
  <w:endnote w:type="continuationSeparator" w:id="0">
    <w:p w:rsidR="008258C0" w:rsidRDefault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474634"/>
    </w:sdtPr>
    <w:sdtEndPr/>
    <w:sdtContent>
      <w:p w:rsidR="00F81BF9" w:rsidRDefault="00EA1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81BF9" w:rsidRDefault="00F81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C0" w:rsidRDefault="008258C0">
      <w:r>
        <w:separator/>
      </w:r>
    </w:p>
  </w:footnote>
  <w:footnote w:type="continuationSeparator" w:id="0">
    <w:p w:rsidR="008258C0" w:rsidRDefault="0082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9FD"/>
    <w:rsid w:val="000017E4"/>
    <w:rsid w:val="00052AA1"/>
    <w:rsid w:val="0007024D"/>
    <w:rsid w:val="000845C8"/>
    <w:rsid w:val="000C0BA4"/>
    <w:rsid w:val="000D7317"/>
    <w:rsid w:val="000E5B2C"/>
    <w:rsid w:val="000F4A0A"/>
    <w:rsid w:val="001306E3"/>
    <w:rsid w:val="00132A23"/>
    <w:rsid w:val="001A4BDC"/>
    <w:rsid w:val="001A7955"/>
    <w:rsid w:val="001F0204"/>
    <w:rsid w:val="002569FD"/>
    <w:rsid w:val="00262631"/>
    <w:rsid w:val="002922BD"/>
    <w:rsid w:val="002937D1"/>
    <w:rsid w:val="002B78BB"/>
    <w:rsid w:val="00314049"/>
    <w:rsid w:val="0034353C"/>
    <w:rsid w:val="003468D8"/>
    <w:rsid w:val="00362611"/>
    <w:rsid w:val="00386D65"/>
    <w:rsid w:val="003D6965"/>
    <w:rsid w:val="003E0A65"/>
    <w:rsid w:val="00417081"/>
    <w:rsid w:val="00433966"/>
    <w:rsid w:val="004560AC"/>
    <w:rsid w:val="00470331"/>
    <w:rsid w:val="00473FD5"/>
    <w:rsid w:val="00484C9B"/>
    <w:rsid w:val="004B1794"/>
    <w:rsid w:val="00513B0C"/>
    <w:rsid w:val="00565366"/>
    <w:rsid w:val="005668AC"/>
    <w:rsid w:val="005D50D3"/>
    <w:rsid w:val="005F2BEB"/>
    <w:rsid w:val="00602A64"/>
    <w:rsid w:val="00657932"/>
    <w:rsid w:val="00663F03"/>
    <w:rsid w:val="0066455F"/>
    <w:rsid w:val="00665675"/>
    <w:rsid w:val="006676B5"/>
    <w:rsid w:val="006A10FB"/>
    <w:rsid w:val="007077EC"/>
    <w:rsid w:val="00726036"/>
    <w:rsid w:val="007439B8"/>
    <w:rsid w:val="007D6BEA"/>
    <w:rsid w:val="007E56B9"/>
    <w:rsid w:val="0080410B"/>
    <w:rsid w:val="008258C0"/>
    <w:rsid w:val="008B3B96"/>
    <w:rsid w:val="008D60A0"/>
    <w:rsid w:val="008E0256"/>
    <w:rsid w:val="00955F7E"/>
    <w:rsid w:val="009A19EB"/>
    <w:rsid w:val="009A42A2"/>
    <w:rsid w:val="009B40F1"/>
    <w:rsid w:val="009B656E"/>
    <w:rsid w:val="009F0658"/>
    <w:rsid w:val="009F5B77"/>
    <w:rsid w:val="00A0249D"/>
    <w:rsid w:val="00A11065"/>
    <w:rsid w:val="00A33561"/>
    <w:rsid w:val="00A60AD6"/>
    <w:rsid w:val="00A9325C"/>
    <w:rsid w:val="00A93A3A"/>
    <w:rsid w:val="00AC0CB7"/>
    <w:rsid w:val="00AC537B"/>
    <w:rsid w:val="00AC667D"/>
    <w:rsid w:val="00AE161C"/>
    <w:rsid w:val="00B073C7"/>
    <w:rsid w:val="00B22C27"/>
    <w:rsid w:val="00B4091C"/>
    <w:rsid w:val="00B615CC"/>
    <w:rsid w:val="00B82C69"/>
    <w:rsid w:val="00BE07EB"/>
    <w:rsid w:val="00C23962"/>
    <w:rsid w:val="00C41532"/>
    <w:rsid w:val="00CB31F0"/>
    <w:rsid w:val="00D30C0F"/>
    <w:rsid w:val="00DC52CA"/>
    <w:rsid w:val="00DC621A"/>
    <w:rsid w:val="00DE1C5D"/>
    <w:rsid w:val="00E020AF"/>
    <w:rsid w:val="00EA1452"/>
    <w:rsid w:val="00EA6EB7"/>
    <w:rsid w:val="00EC358C"/>
    <w:rsid w:val="00ED0521"/>
    <w:rsid w:val="00F015AE"/>
    <w:rsid w:val="00F07F3B"/>
    <w:rsid w:val="00F23E41"/>
    <w:rsid w:val="00F81BF9"/>
    <w:rsid w:val="11547448"/>
    <w:rsid w:val="1AA42090"/>
    <w:rsid w:val="21FD2B59"/>
    <w:rsid w:val="4A4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24E56C"/>
  <w15:docId w15:val="{EBBB2A16-E15A-43ED-AEAE-49C8802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2">
    <w:name w:val="网格型2"/>
    <w:basedOn w:val="a1"/>
    <w:uiPriority w:val="39"/>
    <w:qFormat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85DA5-E5BA-43E6-95B4-67265F7C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53</cp:revision>
  <dcterms:created xsi:type="dcterms:W3CDTF">2020-02-01T05:54:00Z</dcterms:created>
  <dcterms:modified xsi:type="dcterms:W3CDTF">2020-03-24T02:43:00Z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