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rPr>
          <w:rFonts w:hint="eastAsia"/>
          <w:b/>
          <w:sz w:val="24"/>
          <w:lang w:eastAsia="zh-CN"/>
        </w:rPr>
      </w:pPr>
      <w:r>
        <w:rPr>
          <w:rFonts w:hint="eastAsia"/>
          <w:b/>
          <w:sz w:val="24"/>
        </w:rPr>
        <w:t>活动</w:t>
      </w:r>
      <w:r>
        <w:rPr>
          <w:rFonts w:hint="eastAsia"/>
          <w:b/>
          <w:sz w:val="24"/>
          <w:lang w:eastAsia="zh-CN"/>
        </w:rPr>
        <w:t>四</w:t>
      </w:r>
      <w:r>
        <w:rPr>
          <w:rFonts w:hint="eastAsia"/>
          <w:b/>
          <w:sz w:val="24"/>
        </w:rPr>
        <w:t>：</w:t>
      </w:r>
      <w:r>
        <w:rPr>
          <w:rFonts w:hint="eastAsia"/>
          <w:b/>
          <w:sz w:val="24"/>
          <w:lang w:eastAsia="zh-CN"/>
        </w:rPr>
        <w:t>课后练习</w:t>
      </w:r>
    </w:p>
    <w:p>
      <w:pPr>
        <w:rPr>
          <w:rFonts w:hint="default"/>
          <w:sz w:val="24"/>
          <w:szCs w:val="28"/>
          <w:lang w:val="en-US" w:eastAsia="zh-CN"/>
        </w:rPr>
      </w:pPr>
      <w:r>
        <w:rPr>
          <w:rFonts w:hint="eastAsia"/>
          <w:sz w:val="24"/>
          <w:szCs w:val="28"/>
          <w:lang w:val="en-US" w:eastAsia="zh-CN"/>
        </w:rPr>
        <w:t>1 A</w:t>
      </w:r>
    </w:p>
    <w:p>
      <w:pPr>
        <w:rPr>
          <w:rFonts w:hint="default"/>
          <w:sz w:val="24"/>
          <w:szCs w:val="28"/>
          <w:lang w:val="en-US" w:eastAsia="zh-CN"/>
        </w:rPr>
      </w:pPr>
      <w:r>
        <w:rPr>
          <w:rFonts w:hint="eastAsia"/>
          <w:sz w:val="24"/>
          <w:szCs w:val="28"/>
          <w:lang w:val="en-US" w:eastAsia="zh-CN"/>
        </w:rPr>
        <w:t>2 D</w:t>
      </w:r>
      <w:bookmarkStart w:id="0" w:name="_GoBack"/>
      <w:bookmarkEnd w:id="0"/>
    </w:p>
    <w:p>
      <w:pPr>
        <w:rPr>
          <w:rFonts w:hint="default"/>
          <w:sz w:val="24"/>
          <w:szCs w:val="28"/>
          <w:lang w:val="en-US" w:eastAsia="zh-CN"/>
        </w:rPr>
      </w:pPr>
      <w:r>
        <w:rPr>
          <w:rFonts w:hint="eastAsia"/>
          <w:sz w:val="24"/>
          <w:szCs w:val="28"/>
          <w:lang w:val="en-US" w:eastAsia="zh-CN"/>
        </w:rPr>
        <w:t>3 A</w:t>
      </w:r>
    </w:p>
    <w:p>
      <w:pPr>
        <w:rPr>
          <w:rFonts w:hint="eastAsia"/>
          <w:sz w:val="24"/>
          <w:szCs w:val="28"/>
          <w:lang w:val="en-US" w:eastAsia="zh-CN"/>
        </w:rPr>
      </w:pPr>
      <w:r>
        <w:rPr>
          <w:rFonts w:hint="eastAsia"/>
          <w:sz w:val="24"/>
          <w:szCs w:val="28"/>
          <w:lang w:val="en-US" w:eastAsia="zh-CN"/>
        </w:rPr>
        <w:t xml:space="preserve">4 </w:t>
      </w:r>
    </w:p>
    <w:p>
      <w:pPr>
        <w:rPr>
          <w:rFonts w:hint="eastAsia"/>
          <w:lang w:val="en-US" w:eastAsia="zh-CN"/>
        </w:rPr>
      </w:pPr>
    </w:p>
    <w:tbl>
      <w:tblPr>
        <w:tblStyle w:val="2"/>
        <w:tblW w:w="0" w:type="auto"/>
        <w:tblInd w:w="0" w:type="dxa"/>
        <w:tblBorders>
          <w:top w:val="single" w:color="000000" w:sz="0" w:space="0"/>
          <w:left w:val="single" w:color="000000" w:sz="0" w:space="0"/>
          <w:bottom w:val="single" w:color="000000" w:sz="0" w:space="0"/>
          <w:right w:val="single" w:color="000000" w:sz="0" w:space="0"/>
          <w:insideH w:val="single" w:color="000000" w:sz="0" w:space="0"/>
          <w:insideV w:val="single" w:color="000000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131"/>
        <w:gridCol w:w="1497"/>
        <w:gridCol w:w="3676"/>
      </w:tblGrid>
      <w:tr>
        <w:tblPrEx>
          <w:tblBorders>
            <w:top w:val="single" w:color="000000" w:sz="0" w:space="0"/>
            <w:left w:val="single" w:color="000000" w:sz="0" w:space="0"/>
            <w:bottom w:val="single" w:color="000000" w:sz="0" w:space="0"/>
            <w:right w:val="single" w:color="000000" w:sz="0" w:space="0"/>
            <w:insideH w:val="single" w:color="000000" w:sz="0" w:space="0"/>
            <w:insideV w:val="single" w:color="000000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31" w:type="dxa"/>
            <w:noWrap w:val="0"/>
            <w:vAlign w:val="top"/>
          </w:tcPr>
          <w:p>
            <w:pPr>
              <w:spacing w:line="360" w:lineRule="auto"/>
              <w:jc w:val="center"/>
              <w:rPr>
                <w:rFonts w:hint="default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表现</w:t>
            </w:r>
          </w:p>
        </w:tc>
        <w:tc>
          <w:tcPr>
            <w:tcW w:w="1497" w:type="dxa"/>
            <w:noWrap w:val="0"/>
            <w:vAlign w:val="top"/>
          </w:tcPr>
          <w:p>
            <w:pPr>
              <w:spacing w:line="360" w:lineRule="auto"/>
              <w:jc w:val="center"/>
            </w:pPr>
            <w:r>
              <w:rPr>
                <w:rFonts w:hint="eastAsia"/>
                <w:sz w:val="24"/>
                <w:szCs w:val="24"/>
                <w:lang w:eastAsia="zh-CN"/>
              </w:rPr>
              <w:t>原</w:t>
            </w:r>
            <w:r>
              <w:rPr>
                <w:sz w:val="24"/>
                <w:szCs w:val="24"/>
              </w:rPr>
              <w:t>因</w:t>
            </w:r>
          </w:p>
        </w:tc>
        <w:tc>
          <w:tcPr>
            <w:tcW w:w="3676" w:type="dxa"/>
            <w:noWrap w:val="0"/>
            <w:vAlign w:val="top"/>
          </w:tcPr>
          <w:p>
            <w:pPr>
              <w:spacing w:line="360" w:lineRule="auto"/>
              <w:jc w:val="center"/>
              <w:rPr>
                <w:rFonts w:hint="eastAsia" w:eastAsiaTheme="minorEastAsia"/>
                <w:lang w:eastAsia="zh-CN"/>
              </w:rPr>
            </w:pPr>
            <w:r>
              <w:rPr>
                <w:rFonts w:hint="eastAsia"/>
                <w:lang w:eastAsia="zh-CN"/>
              </w:rPr>
              <w:t>建议</w:t>
            </w:r>
          </w:p>
        </w:tc>
      </w:tr>
      <w:tr>
        <w:tblPrEx>
          <w:tblBorders>
            <w:top w:val="single" w:color="000000" w:sz="0" w:space="0"/>
            <w:left w:val="single" w:color="000000" w:sz="0" w:space="0"/>
            <w:bottom w:val="single" w:color="000000" w:sz="0" w:space="0"/>
            <w:right w:val="single" w:color="000000" w:sz="0" w:space="0"/>
            <w:insideH w:val="single" w:color="000000" w:sz="0" w:space="0"/>
            <w:insideV w:val="single" w:color="000000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31" w:type="dxa"/>
            <w:noWrap w:val="0"/>
            <w:vAlign w:val="top"/>
          </w:tcPr>
          <w:p>
            <w:pPr>
              <w:spacing w:line="360" w:lineRule="auto"/>
              <w:jc w:val="left"/>
            </w:pPr>
            <w:r>
              <w:rPr>
                <w:sz w:val="24"/>
                <w:szCs w:val="24"/>
              </w:rPr>
              <w:t>凯凯：我因个子矮且长相一般，时常闷闷不乐，导致失去进取心，耽误了学习。</w:t>
            </w:r>
          </w:p>
        </w:tc>
        <w:tc>
          <w:tcPr>
            <w:tcW w:w="1497" w:type="dxa"/>
            <w:noWrap w:val="0"/>
            <w:vAlign w:val="top"/>
          </w:tcPr>
          <w:p>
            <w:pPr>
              <w:spacing w:line="360" w:lineRule="auto"/>
              <w:jc w:val="left"/>
            </w:pPr>
            <w:r>
              <w:rPr>
                <w:sz w:val="24"/>
                <w:szCs w:val="24"/>
              </w:rPr>
              <w:t>产生的自卑心理造成的</w:t>
            </w:r>
          </w:p>
        </w:tc>
        <w:tc>
          <w:tcPr>
            <w:tcW w:w="3676" w:type="dxa"/>
            <w:noWrap w:val="0"/>
            <w:vAlign w:val="top"/>
          </w:tcPr>
          <w:p>
            <w:pPr>
              <w:spacing w:line="360" w:lineRule="auto"/>
              <w:jc w:val="left"/>
            </w:pPr>
            <w:r>
              <w:rPr>
                <w:sz w:val="24"/>
                <w:szCs w:val="24"/>
              </w:rPr>
              <w:t>（1）</w:t>
            </w:r>
            <w:r>
              <w:rPr>
                <w:sz w:val="24"/>
                <w:szCs w:val="24"/>
                <w:u w:val="single"/>
              </w:rPr>
              <w:t>　看到自己的进步和长处；（2分）增强信心和实力，找到撑起信心的最重要支柱　</w:t>
            </w:r>
          </w:p>
        </w:tc>
      </w:tr>
      <w:tr>
        <w:tblPrEx>
          <w:tblBorders>
            <w:top w:val="single" w:color="000000" w:sz="0" w:space="0"/>
            <w:left w:val="single" w:color="000000" w:sz="0" w:space="0"/>
            <w:bottom w:val="single" w:color="000000" w:sz="0" w:space="0"/>
            <w:right w:val="single" w:color="000000" w:sz="0" w:space="0"/>
            <w:insideH w:val="single" w:color="000000" w:sz="0" w:space="0"/>
            <w:insideV w:val="single" w:color="000000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31" w:type="dxa"/>
            <w:noWrap w:val="0"/>
            <w:vAlign w:val="top"/>
          </w:tcPr>
          <w:p>
            <w:pPr>
              <w:spacing w:line="360" w:lineRule="auto"/>
              <w:jc w:val="left"/>
            </w:pPr>
            <w:r>
              <w:rPr>
                <w:sz w:val="24"/>
                <w:szCs w:val="24"/>
              </w:rPr>
              <w:t>楚楚：自己不会叠被子，挂蚊帐，也不会洗衣服、做饭。</w:t>
            </w:r>
          </w:p>
        </w:tc>
        <w:tc>
          <w:tcPr>
            <w:tcW w:w="1497" w:type="dxa"/>
            <w:noWrap w:val="0"/>
            <w:vAlign w:val="top"/>
          </w:tcPr>
          <w:p>
            <w:pPr>
              <w:spacing w:line="360" w:lineRule="auto"/>
              <w:jc w:val="left"/>
            </w:pPr>
            <w:r>
              <w:rPr>
                <w:sz w:val="24"/>
                <w:szCs w:val="24"/>
              </w:rPr>
              <w:t>（2）</w:t>
            </w:r>
            <w:r>
              <w:rPr>
                <w:sz w:val="24"/>
                <w:szCs w:val="24"/>
                <w:u w:val="single"/>
              </w:rPr>
              <w:t>　依赖性强，自</w:t>
            </w:r>
            <w:r>
              <w:rPr>
                <w:rFonts w:hint="eastAsia"/>
                <w:sz w:val="24"/>
                <w:szCs w:val="24"/>
                <w:u w:val="single"/>
                <w:lang w:eastAsia="zh-CN"/>
              </w:rPr>
              <w:t>理</w:t>
            </w:r>
            <w:r>
              <w:rPr>
                <w:sz w:val="24"/>
                <w:szCs w:val="24"/>
                <w:u w:val="single"/>
              </w:rPr>
              <w:t>能力差．　</w:t>
            </w:r>
          </w:p>
        </w:tc>
        <w:tc>
          <w:tcPr>
            <w:tcW w:w="3676" w:type="dxa"/>
            <w:noWrap w:val="0"/>
            <w:vAlign w:val="top"/>
          </w:tcPr>
          <w:p>
            <w:pPr>
              <w:spacing w:line="360" w:lineRule="auto"/>
              <w:jc w:val="left"/>
            </w:pPr>
            <w:r>
              <w:rPr>
                <w:sz w:val="24"/>
                <w:szCs w:val="24"/>
              </w:rPr>
              <w:t>在父母的帮助下，逐步告别依赖，自觉走向自立；立足于自己当前生活、学习中的问题，多实践、多锻炼，从小事做起</w:t>
            </w:r>
            <w:r>
              <w:rPr>
                <w:rFonts w:hint="eastAsia"/>
                <w:sz w:val="24"/>
                <w:szCs w:val="24"/>
                <w:lang w:eastAsia="zh-CN"/>
              </w:rPr>
              <w:t>，培养自强品质</w:t>
            </w:r>
            <w:r>
              <w:rPr>
                <w:sz w:val="24"/>
                <w:szCs w:val="24"/>
              </w:rPr>
              <w:t>。</w:t>
            </w:r>
          </w:p>
        </w:tc>
      </w:tr>
      <w:tr>
        <w:tblPrEx>
          <w:tblBorders>
            <w:top w:val="single" w:color="000000" w:sz="0" w:space="0"/>
            <w:left w:val="single" w:color="000000" w:sz="0" w:space="0"/>
            <w:bottom w:val="single" w:color="000000" w:sz="0" w:space="0"/>
            <w:right w:val="single" w:color="000000" w:sz="0" w:space="0"/>
            <w:insideH w:val="single" w:color="000000" w:sz="0" w:space="0"/>
            <w:insideV w:val="single" w:color="000000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31" w:type="dxa"/>
            <w:noWrap w:val="0"/>
            <w:vAlign w:val="top"/>
          </w:tcPr>
          <w:p>
            <w:pPr>
              <w:spacing w:line="360" w:lineRule="auto"/>
              <w:jc w:val="left"/>
            </w:pPr>
            <w:r>
              <w:rPr>
                <w:sz w:val="24"/>
                <w:szCs w:val="24"/>
              </w:rPr>
              <w:t>芳芳：考试时，我大都考得不理想，面对同学的嘲笑、家长的责怪，我经常悲观失望，甚至自暴自弃。</w:t>
            </w:r>
          </w:p>
        </w:tc>
        <w:tc>
          <w:tcPr>
            <w:tcW w:w="1497" w:type="dxa"/>
            <w:noWrap w:val="0"/>
            <w:vAlign w:val="top"/>
          </w:tcPr>
          <w:p>
            <w:pPr>
              <w:spacing w:line="360" w:lineRule="auto"/>
              <w:jc w:val="left"/>
            </w:pPr>
            <w:r>
              <w:rPr>
                <w:sz w:val="24"/>
                <w:szCs w:val="24"/>
              </w:rPr>
              <w:t>承受挫折能力差</w:t>
            </w:r>
          </w:p>
        </w:tc>
        <w:tc>
          <w:tcPr>
            <w:tcW w:w="3676" w:type="dxa"/>
            <w:noWrap w:val="0"/>
            <w:vAlign w:val="top"/>
          </w:tcPr>
          <w:p>
            <w:pPr>
              <w:spacing w:line="360" w:lineRule="auto"/>
              <w:jc w:val="left"/>
            </w:pPr>
            <w:r>
              <w:rPr>
                <w:sz w:val="24"/>
                <w:szCs w:val="24"/>
              </w:rPr>
              <w:t>（3）</w:t>
            </w:r>
            <w:r>
              <w:rPr>
                <w:sz w:val="24"/>
                <w:szCs w:val="24"/>
                <w:u w:val="single"/>
              </w:rPr>
              <w:t>　树立正确的人生目标；正确认识挫折，采取恰当的解决方法；激发探索创新的热情；学会自我疏导．　</w:t>
            </w:r>
          </w:p>
        </w:tc>
      </w:tr>
    </w:tbl>
    <w:p>
      <w:pPr>
        <w:rPr>
          <w:rFonts w:hint="default"/>
          <w:lang w:val="en-US" w:eastAsia="zh-CN"/>
        </w:rPr>
      </w:pPr>
    </w:p>
    <w:p>
      <w:pPr>
        <w:rPr>
          <w:rFonts w:hint="default"/>
          <w:lang w:val="en-US" w:eastAsia="zh-CN"/>
        </w:rPr>
      </w:pPr>
    </w:p>
    <w:p>
      <w:pPr>
        <w:spacing w:line="360" w:lineRule="auto"/>
        <w:rPr>
          <w:rFonts w:hint="eastAsia"/>
          <w:b/>
          <w:sz w:val="24"/>
          <w:lang w:eastAsia="zh-CN"/>
        </w:rPr>
      </w:pPr>
      <w:r>
        <w:rPr>
          <w:rFonts w:hint="eastAsia"/>
          <w:b/>
          <w:sz w:val="24"/>
        </w:rPr>
        <w:t>活动</w:t>
      </w:r>
      <w:r>
        <w:rPr>
          <w:rFonts w:hint="eastAsia"/>
          <w:b/>
          <w:sz w:val="24"/>
          <w:lang w:eastAsia="zh-CN"/>
        </w:rPr>
        <w:t>五</w:t>
      </w:r>
      <w:r>
        <w:rPr>
          <w:rFonts w:hint="eastAsia"/>
          <w:b/>
          <w:sz w:val="24"/>
        </w:rPr>
        <w:t>：</w:t>
      </w:r>
      <w:r>
        <w:rPr>
          <w:rFonts w:hint="eastAsia"/>
          <w:b/>
          <w:sz w:val="24"/>
          <w:lang w:eastAsia="zh-CN"/>
        </w:rPr>
        <w:t>课后实践</w:t>
      </w:r>
    </w:p>
    <w:p>
      <w:pPr>
        <w:spacing w:line="360" w:lineRule="auto"/>
        <w:rPr>
          <w:rFonts w:hint="eastAsia"/>
          <w:b w:val="0"/>
          <w:bCs/>
          <w:sz w:val="24"/>
          <w:lang w:eastAsia="zh-CN"/>
        </w:rPr>
      </w:pPr>
      <w:r>
        <w:rPr>
          <w:rFonts w:hint="eastAsia"/>
          <w:b w:val="0"/>
          <w:bCs/>
          <w:sz w:val="24"/>
          <w:lang w:eastAsia="zh-CN"/>
        </w:rPr>
        <w:t>此活动具有开放性，设计标语能够体现自强的品质即可；</w:t>
      </w:r>
    </w:p>
    <w:p>
      <w:pPr>
        <w:spacing w:line="360" w:lineRule="auto"/>
        <w:rPr>
          <w:rFonts w:hint="eastAsia"/>
          <w:b w:val="0"/>
          <w:bCs/>
          <w:sz w:val="24"/>
          <w:lang w:eastAsia="zh-CN"/>
        </w:rPr>
      </w:pPr>
      <w:r>
        <w:rPr>
          <w:rFonts w:hint="eastAsia"/>
          <w:b w:val="0"/>
          <w:bCs/>
          <w:sz w:val="24"/>
          <w:lang w:eastAsia="zh-CN"/>
        </w:rPr>
        <w:t>倡议书能够说明自强的作用号召同学们勇敢面对困难即可。</w:t>
      </w:r>
    </w:p>
    <w:p>
      <w:pPr>
        <w:rPr>
          <w:rFonts w:hint="default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EF91FB6"/>
    <w:rsid w:val="48AF0080"/>
    <w:rsid w:val="501865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8</TotalTime>
  <ScaleCrop>false</ScaleCrop>
  <LinksUpToDate>false</LinksUpToDate>
  <CharactersWithSpaces>0</CharactersWithSpaces>
  <Application>WPS Office_11.1.0.9513_F1E327BC-269C-435d-A152-05C5408002CA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2020-03-14T14:34:00Z</dcterms:created>
  <dc:creator>Administrator</dc:creator>
  <cp:lastModifiedBy>user</cp:lastModifiedBy>
  <dcterms:modified xsi:type="dcterms:W3CDTF">2020-03-17T03:42:05Z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2052-11.1.0.9513</vt:lpwstr>
  </property>
</Properties>
</file>