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高二年级历史第15课《唐太宗A》拓展提升任务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阅读材料，回答问题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贞观元年，李世民就指出：“死者不可再生，用法务在宽简。”此后还多次指示臣下：“国家法令，惟须简约”“不可轻出诏令”“若不常定，则人心多惑，奸诈益生”。…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0" distR="0">
            <wp:extent cx="17145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…李世民自己先后怒杀大理丞张蕴古和交州都督卢祖尚以后，又再三追悔，自责思虑“不审”，甚至斥责臣僚们不该不加谏阻，以致错杀了人……因此当时虽然已有“三复奏”，即死刑执行前应向皇帝请示三次的规定，但他认为并没有解决问题，于是再又规定了“五复奏”，即决前一日、二日复奏，执行之日又三复奏的制度。并且规定：“自今门下复理，有据法合死而情可宥者，宜录状奏。”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为君之道，必须先存百姓。若损百姓以奉其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0" distR="0">
            <wp:extent cx="23495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身，犹割股以啖腹，腹饱而身毙。若安天下，必须先正其身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0" distR="0">
            <wp:extent cx="23495" cy="23495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，未有身正而影曲，上治而下乱者。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——《论君道》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请回答：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根据材料一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概括指出唐太宗的</w:t>
      </w:r>
      <w:r>
        <w:rPr>
          <w:rFonts w:hint="eastAsia" w:ascii="宋体" w:hAnsi="宋体" w:eastAsia="宋体" w:cs="宋体"/>
          <w:sz w:val="24"/>
          <w:szCs w:val="24"/>
        </w:rPr>
        <w:t>法制思想有哪些突出特点。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根据材料二和所学知识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概括指出唐太宗法制思想形成的原因及对当时的影响。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241FB5"/>
    <w:rsid w:val="003C5B35"/>
    <w:rsid w:val="004B7885"/>
    <w:rsid w:val="005C022C"/>
    <w:rsid w:val="006672CF"/>
    <w:rsid w:val="00776540"/>
    <w:rsid w:val="00892533"/>
    <w:rsid w:val="00A47F52"/>
    <w:rsid w:val="00D979A4"/>
    <w:rsid w:val="00E828A3"/>
    <w:rsid w:val="00F53CFB"/>
    <w:rsid w:val="00FB6863"/>
    <w:rsid w:val="0BC307C5"/>
    <w:rsid w:val="14657A22"/>
    <w:rsid w:val="308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9</TotalTime>
  <ScaleCrop>false</ScaleCrop>
  <LinksUpToDate>false</LinksUpToDate>
  <CharactersWithSpaces>469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2020-03-06T13:04:06Z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