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Style w:val="7"/>
          <w:rFonts w:hint="eastAsia" w:ascii="Times New Roman" w:hAnsi="Times New Roman" w:eastAsia="宋体" w:cs="Times New Roman"/>
          <w:b/>
          <w:szCs w:val="21"/>
        </w:rPr>
      </w:pPr>
      <w:r>
        <w:rPr>
          <w:rStyle w:val="7"/>
          <w:rFonts w:hint="eastAsia" w:ascii="Times New Roman" w:hAnsi="Times New Roman" w:eastAsia="宋体" w:cs="Times New Roman"/>
          <w:b/>
          <w:szCs w:val="21"/>
        </w:rPr>
        <w:t>拓展内容一：</w:t>
      </w:r>
    </w:p>
    <w:p>
      <w:pPr>
        <w:spacing w:line="276" w:lineRule="auto"/>
        <w:rPr>
          <w:rFonts w:ascii="Times New Roman" w:hAnsi="Times New Roman"/>
          <w:szCs w:val="22"/>
        </w:rPr>
      </w:pPr>
      <w:r>
        <w:rPr>
          <w:rFonts w:ascii="Times New Roman" w:hAnsi="Times New Roman"/>
          <w:szCs w:val="22"/>
        </w:rPr>
        <w:t>阅读下列材料，分析回答下列问题。</w:t>
      </w:r>
    </w:p>
    <w:p>
      <w:pPr>
        <w:spacing w:line="276" w:lineRule="auto"/>
        <w:rPr>
          <w:rFonts w:ascii="Times New Roman" w:hAnsi="Times New Roman" w:eastAsia="楷体"/>
          <w:szCs w:val="22"/>
        </w:rPr>
      </w:pPr>
      <w:r>
        <w:rPr>
          <w:rFonts w:hint="eastAsia" w:ascii="Times New Roman" w:hAnsi="Times New Roman" w:eastAsia="黑体"/>
          <w:szCs w:val="22"/>
        </w:rPr>
        <w:t xml:space="preserve">   </w:t>
      </w:r>
      <w:r>
        <w:rPr>
          <w:rFonts w:ascii="Times New Roman" w:hAnsi="Times New Roman" w:eastAsia="黑体"/>
          <w:szCs w:val="22"/>
        </w:rPr>
        <w:t>材料1：</w:t>
      </w:r>
      <w:r>
        <w:rPr>
          <w:rFonts w:ascii="Times New Roman" w:hAnsi="Times New Roman" w:eastAsia="楷体"/>
          <w:szCs w:val="22"/>
        </w:rPr>
        <w:t>胡锦涛同志在十七大报告首次提出建设生态文明的理念，批判反思了人与自然关系中环境污染的代价，强调要建立人与自然和谐相处的关系。</w:t>
      </w:r>
    </w:p>
    <w:p>
      <w:pPr>
        <w:spacing w:line="276" w:lineRule="auto"/>
        <w:rPr>
          <w:rFonts w:ascii="Times New Roman" w:hAnsi="Times New Roman"/>
          <w:szCs w:val="22"/>
        </w:rPr>
      </w:pPr>
      <w:r>
        <w:rPr>
          <w:rFonts w:ascii="Times New Roman" w:hAnsi="Times New Roman" w:eastAsia="楷体"/>
          <w:szCs w:val="22"/>
        </w:rPr>
        <w:t xml:space="preserve">    习近平总书记指出：倡导推广绿色消费。生态文明建设同每个人息息相关，每个人都应该做践行者、推动者。要大力节约集约利用资源，推动资源利用方式根本转变，加强全过程节约管理，大幅降低能源、水、土地消耗强度。</w:t>
      </w:r>
    </w:p>
    <w:p>
      <w:pPr>
        <w:spacing w:line="276" w:lineRule="auto"/>
        <w:rPr>
          <w:rFonts w:ascii="Times New Roman" w:hAnsi="Times New Roman"/>
          <w:szCs w:val="22"/>
        </w:rPr>
      </w:pPr>
      <w:r>
        <w:rPr>
          <w:rFonts w:ascii="Times New Roman" w:hAnsi="Times New Roman" w:eastAsia="黑体"/>
          <w:szCs w:val="22"/>
        </w:rPr>
        <w:t xml:space="preserve">   材料2：</w:t>
      </w:r>
      <w:r>
        <w:rPr>
          <w:rFonts w:ascii="Times New Roman" w:hAnsi="Times New Roman" w:eastAsia="楷体"/>
          <w:szCs w:val="22"/>
        </w:rPr>
        <w:t>2006年8月11日，清华大学中国国情研究中心主任胡鞍钢在北京《二十一世纪中国人口与经济发展》新书发布会上表示，一味减少人口数量规模不一定是好事，中国应适当适时调整人口政策。</w:t>
      </w:r>
    </w:p>
    <w:p>
      <w:pPr>
        <w:spacing w:line="276" w:lineRule="auto"/>
        <w:rPr>
          <w:rFonts w:ascii="Times New Roman" w:hAnsi="Times New Roman"/>
          <w:szCs w:val="22"/>
        </w:rPr>
      </w:pPr>
      <w:r>
        <w:rPr>
          <w:rFonts w:ascii="Times New Roman" w:hAnsi="Times New Roman" w:eastAsia="黑体"/>
          <w:szCs w:val="22"/>
        </w:rPr>
        <w:t xml:space="preserve">   材料</w:t>
      </w:r>
      <w:r>
        <w:rPr>
          <w:rFonts w:hint="eastAsia" w:ascii="Times New Roman" w:hAnsi="Times New Roman" w:eastAsia="黑体"/>
          <w:szCs w:val="22"/>
        </w:rPr>
        <w:t>3</w:t>
      </w:r>
      <w:r>
        <w:rPr>
          <w:rFonts w:ascii="Times New Roman" w:hAnsi="Times New Roman" w:eastAsia="黑体"/>
          <w:szCs w:val="22"/>
        </w:rPr>
        <w:t>：</w:t>
      </w:r>
      <w:r>
        <w:rPr>
          <w:rFonts w:ascii="Times New Roman" w:hAnsi="Times New Roman" w:eastAsia="楷体"/>
          <w:szCs w:val="22"/>
        </w:rPr>
        <w:t>新华社拉萨2007年6月28日电  自青藏铁路通车近一年来，有150万人次选择乘火车进藏旅游，就是在所谓“淡季”的今年1月至5月，还接待67万人次，同比增长82.7%。</w:t>
      </w:r>
    </w:p>
    <w:p>
      <w:pPr>
        <w:tabs>
          <w:tab w:val="left" w:pos="4140"/>
        </w:tabs>
        <w:adjustRightInd w:val="0"/>
        <w:snapToGrid w:val="0"/>
        <w:spacing w:line="276" w:lineRule="auto"/>
        <w:jc w:val="left"/>
        <w:rPr>
          <w:rFonts w:hint="eastAsia" w:ascii="宋体" w:hAnsi="宋体" w:eastAsia="宋体" w:cs="宋体"/>
          <w:bCs/>
          <w:szCs w:val="21"/>
        </w:rPr>
      </w:pPr>
      <w:r>
        <w:rPr>
          <w:rFonts w:hint="eastAsia" w:ascii="宋体" w:hAnsi="宋体" w:eastAsia="宋体" w:cs="宋体"/>
          <w:szCs w:val="22"/>
        </w:rPr>
        <w:t>（1）</w:t>
      </w:r>
      <w:r>
        <w:rPr>
          <w:rFonts w:hint="eastAsia" w:ascii="宋体" w:hAnsi="宋体" w:eastAsia="宋体" w:cs="宋体"/>
          <w:bCs/>
          <w:szCs w:val="21"/>
        </w:rPr>
        <w:t>青藏地区地广人稀，而我国东部则地狭人稠，根据可持续发展的思想，是否可以大量向青藏地区移民？为什么？</w:t>
      </w:r>
    </w:p>
    <w:p>
      <w:pPr>
        <w:spacing w:line="276" w:lineRule="auto"/>
        <w:rPr>
          <w:rFonts w:hint="eastAsia" w:ascii="宋体" w:hAnsi="宋体" w:eastAsia="宋体" w:cs="宋体"/>
          <w:color w:val="000000"/>
          <w:szCs w:val="22"/>
        </w:rPr>
      </w:pPr>
    </w:p>
    <w:p>
      <w:pPr>
        <w:spacing w:line="276" w:lineRule="auto"/>
        <w:rPr>
          <w:rFonts w:hint="eastAsia" w:ascii="宋体" w:hAnsi="宋体" w:eastAsia="宋体" w:cs="宋体"/>
          <w:color w:val="000000"/>
          <w:szCs w:val="22"/>
        </w:rPr>
      </w:pPr>
    </w:p>
    <w:p>
      <w:pPr>
        <w:spacing w:line="276" w:lineRule="auto"/>
        <w:rPr>
          <w:rFonts w:hint="eastAsia" w:ascii="宋体" w:hAnsi="宋体" w:eastAsia="宋体" w:cs="宋体"/>
          <w:color w:val="000000"/>
          <w:szCs w:val="22"/>
        </w:rPr>
      </w:pPr>
    </w:p>
    <w:p>
      <w:pPr>
        <w:spacing w:line="276" w:lineRule="auto"/>
        <w:rPr>
          <w:rFonts w:hint="eastAsia" w:ascii="宋体" w:hAnsi="宋体" w:eastAsia="宋体" w:cs="宋体"/>
          <w:color w:val="000000"/>
          <w:szCs w:val="22"/>
        </w:rPr>
      </w:pPr>
    </w:p>
    <w:p>
      <w:pPr>
        <w:spacing w:line="276" w:lineRule="auto"/>
        <w:rPr>
          <w:rFonts w:hint="eastAsia" w:ascii="宋体" w:hAnsi="宋体" w:eastAsia="宋体" w:cs="宋体"/>
          <w:color w:val="000000"/>
          <w:szCs w:val="22"/>
        </w:rPr>
      </w:pPr>
    </w:p>
    <w:p>
      <w:pPr>
        <w:spacing w:line="276" w:lineRule="auto"/>
        <w:rPr>
          <w:rFonts w:hint="eastAsia" w:ascii="宋体" w:hAnsi="宋体" w:eastAsia="宋体" w:cs="宋体"/>
          <w:color w:val="000000"/>
          <w:szCs w:val="22"/>
        </w:rPr>
      </w:pPr>
    </w:p>
    <w:p>
      <w:pPr>
        <w:tabs>
          <w:tab w:val="left" w:pos="4140"/>
        </w:tabs>
        <w:adjustRightInd w:val="0"/>
        <w:snapToGrid w:val="0"/>
        <w:spacing w:line="276" w:lineRule="auto"/>
        <w:jc w:val="left"/>
        <w:rPr>
          <w:rFonts w:hint="eastAsia" w:ascii="宋体" w:hAnsi="宋体" w:eastAsia="宋体" w:cs="宋体"/>
          <w:bCs/>
          <w:szCs w:val="22"/>
        </w:rPr>
      </w:pPr>
      <w:r>
        <w:rPr>
          <w:rFonts w:hint="eastAsia" w:ascii="宋体" w:hAnsi="宋体" w:eastAsia="宋体" w:cs="宋体"/>
          <w:bCs/>
          <w:szCs w:val="21"/>
        </w:rPr>
        <w:t xml:space="preserve"> （2）</w:t>
      </w:r>
      <w:r>
        <w:rPr>
          <w:rFonts w:hint="eastAsia" w:ascii="宋体" w:hAnsi="宋体" w:eastAsia="宋体" w:cs="宋体"/>
          <w:bCs/>
          <w:szCs w:val="22"/>
        </w:rPr>
        <w:t>依据我国国情，谋求我国人口合理容量可采取哪些措施？提高我国环境承载力的措施又有哪些？</w:t>
      </w:r>
    </w:p>
    <w:p>
      <w:pPr>
        <w:tabs>
          <w:tab w:val="left" w:pos="4140"/>
        </w:tabs>
        <w:adjustRightInd w:val="0"/>
        <w:snapToGrid w:val="0"/>
        <w:spacing w:line="276" w:lineRule="auto"/>
        <w:jc w:val="left"/>
        <w:rPr>
          <w:rFonts w:hint="eastAsia" w:ascii="宋体" w:hAnsi="宋体" w:eastAsia="宋体" w:cs="宋体"/>
          <w:bCs/>
          <w:szCs w:val="21"/>
        </w:rPr>
      </w:pPr>
    </w:p>
    <w:p>
      <w:pPr>
        <w:tabs>
          <w:tab w:val="left" w:pos="4140"/>
        </w:tabs>
        <w:adjustRightInd w:val="0"/>
        <w:snapToGrid w:val="0"/>
        <w:spacing w:line="276" w:lineRule="auto"/>
        <w:jc w:val="left"/>
        <w:rPr>
          <w:rFonts w:hint="eastAsia" w:ascii="宋体" w:hAnsi="宋体" w:eastAsia="宋体" w:cs="宋体"/>
          <w:bCs/>
          <w:szCs w:val="21"/>
        </w:rPr>
      </w:pPr>
    </w:p>
    <w:p>
      <w:pPr>
        <w:tabs>
          <w:tab w:val="left" w:pos="4140"/>
        </w:tabs>
        <w:adjustRightInd w:val="0"/>
        <w:snapToGrid w:val="0"/>
        <w:spacing w:line="276" w:lineRule="auto"/>
        <w:jc w:val="left"/>
        <w:rPr>
          <w:rFonts w:hint="eastAsia" w:ascii="宋体" w:hAnsi="宋体" w:eastAsia="宋体" w:cs="宋体"/>
          <w:bCs/>
          <w:szCs w:val="22"/>
        </w:rPr>
      </w:pPr>
    </w:p>
    <w:p>
      <w:pPr>
        <w:tabs>
          <w:tab w:val="left" w:pos="4140"/>
        </w:tabs>
        <w:adjustRightInd w:val="0"/>
        <w:snapToGrid w:val="0"/>
        <w:spacing w:line="276" w:lineRule="auto"/>
        <w:jc w:val="left"/>
        <w:rPr>
          <w:rFonts w:hint="eastAsia" w:ascii="宋体" w:hAnsi="宋体" w:eastAsia="宋体" w:cs="宋体"/>
          <w:bCs/>
          <w:szCs w:val="22"/>
        </w:rPr>
      </w:pPr>
      <w:bookmarkStart w:id="0" w:name="_GoBack"/>
      <w:bookmarkEnd w:id="0"/>
    </w:p>
    <w:p>
      <w:pPr>
        <w:tabs>
          <w:tab w:val="left" w:pos="4140"/>
        </w:tabs>
        <w:adjustRightInd w:val="0"/>
        <w:snapToGrid w:val="0"/>
        <w:spacing w:line="276" w:lineRule="auto"/>
        <w:jc w:val="left"/>
        <w:rPr>
          <w:rFonts w:hint="eastAsia" w:ascii="宋体" w:hAnsi="宋体" w:eastAsia="宋体" w:cs="宋体"/>
          <w:bCs/>
          <w:szCs w:val="22"/>
        </w:rPr>
      </w:pPr>
    </w:p>
    <w:p>
      <w:pPr>
        <w:spacing w:line="276" w:lineRule="auto"/>
        <w:rPr>
          <w:rFonts w:hint="eastAsia" w:ascii="宋体" w:hAnsi="宋体" w:eastAsia="宋体" w:cs="宋体"/>
          <w:szCs w:val="22"/>
        </w:rPr>
      </w:pPr>
    </w:p>
    <w:p>
      <w:pPr>
        <w:rPr>
          <w:rStyle w:val="7"/>
          <w:rFonts w:hint="eastAsia" w:ascii="宋体" w:hAnsi="宋体" w:eastAsia="宋体" w:cs="宋体"/>
          <w:b/>
          <w:szCs w:val="21"/>
        </w:rPr>
      </w:pPr>
    </w:p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Arial Unicode MS"/>
    <w:panose1 w:val="00000000000000000000"/>
    <w:charset w:val="86"/>
    <w:family w:val="auto"/>
    <w:pitch w:val="default"/>
    <w:sig w:usb0="00000000" w:usb1="00000000" w:usb2="00000016" w:usb3="00000000" w:csb0="0004000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等线">
    <w:altName w:val="Arial Unicode MS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等线">
    <w:altName w:val="Arial Unicode MS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Arial Unicode MS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Arial Unicode MS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5693"/>
    <w:rsid w:val="00104D6E"/>
    <w:rsid w:val="0016268C"/>
    <w:rsid w:val="00275AB3"/>
    <w:rsid w:val="002A201C"/>
    <w:rsid w:val="002F58E7"/>
    <w:rsid w:val="003625BE"/>
    <w:rsid w:val="00367F7E"/>
    <w:rsid w:val="0039213A"/>
    <w:rsid w:val="003B5693"/>
    <w:rsid w:val="003E5776"/>
    <w:rsid w:val="00433B17"/>
    <w:rsid w:val="004C777C"/>
    <w:rsid w:val="00547F03"/>
    <w:rsid w:val="00595BA4"/>
    <w:rsid w:val="006C33F6"/>
    <w:rsid w:val="006F790D"/>
    <w:rsid w:val="007027BC"/>
    <w:rsid w:val="007157A4"/>
    <w:rsid w:val="007373BE"/>
    <w:rsid w:val="00845D55"/>
    <w:rsid w:val="00865FE0"/>
    <w:rsid w:val="008D3BF8"/>
    <w:rsid w:val="009165BF"/>
    <w:rsid w:val="0094278D"/>
    <w:rsid w:val="009A5EFF"/>
    <w:rsid w:val="00A06F14"/>
    <w:rsid w:val="00AA7C3A"/>
    <w:rsid w:val="00B60C35"/>
    <w:rsid w:val="00DF3F54"/>
    <w:rsid w:val="00E3123B"/>
    <w:rsid w:val="00E503F7"/>
    <w:rsid w:val="00F711F8"/>
    <w:rsid w:val="00F77E7E"/>
    <w:rsid w:val="266F2851"/>
    <w:rsid w:val="26811C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1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7">
    <w:name w:val="Strong"/>
    <w:qFormat/>
    <w:uiPriority w:val="22"/>
  </w:style>
  <w:style w:type="paragraph" w:styleId="8">
    <w:name w:val="List Paragraph"/>
    <w:basedOn w:val="1"/>
    <w:qFormat/>
    <w:uiPriority w:val="34"/>
    <w:pPr>
      <w:ind w:firstLine="420" w:firstLineChars="200"/>
    </w:pPr>
  </w:style>
  <w:style w:type="character" w:customStyle="1" w:styleId="9">
    <w:name w:val="页眉 Char"/>
    <w:basedOn w:val="6"/>
    <w:link w:val="4"/>
    <w:qFormat/>
    <w:uiPriority w:val="99"/>
    <w:rPr>
      <w:sz w:val="18"/>
      <w:szCs w:val="18"/>
    </w:rPr>
  </w:style>
  <w:style w:type="character" w:customStyle="1" w:styleId="10">
    <w:name w:val="页脚 Char"/>
    <w:basedOn w:val="6"/>
    <w:link w:val="3"/>
    <w:qFormat/>
    <w:uiPriority w:val="99"/>
    <w:rPr>
      <w:sz w:val="18"/>
      <w:szCs w:val="18"/>
    </w:rPr>
  </w:style>
  <w:style w:type="character" w:customStyle="1" w:styleId="11">
    <w:name w:val="批注框文本 Char"/>
    <w:basedOn w:val="6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89</Words>
  <Characters>512</Characters>
  <Lines>4</Lines>
  <Paragraphs>1</Paragraphs>
  <TotalTime>1</TotalTime>
  <ScaleCrop>false</ScaleCrop>
  <LinksUpToDate>false</LinksUpToDate>
  <CharactersWithSpaces>600</CharactersWithSpaces>
  <Application>WPS Office_11.3.0.9221_F1E327BC-269C-435d-A152-05C5408002CA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2020-03-08T08:17:00Z</dcterms:created>
  <dc:creator>晓绪 商</dc:creator>
  <cp:lastModifiedBy>2006不倒翁</cp:lastModifiedBy>
  <dcterms:modified xsi:type="dcterms:W3CDTF">2020-03-15T09:15:49Z</dcterms:modified>
  <cp:revision>15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2052-11.3.0.9221</vt:lpwstr>
  </property>
</Properties>
</file>