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6B" w:rsidRDefault="00507AC0" w:rsidP="00F77162">
      <w:pPr>
        <w:spacing w:line="30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737070">
        <w:rPr>
          <w:rFonts w:asciiTheme="minorEastAsia" w:hAnsiTheme="minorEastAsia"/>
          <w:b/>
          <w:sz w:val="24"/>
          <w:szCs w:val="24"/>
        </w:rPr>
        <w:instrText>ADDIN CNKISM.UserStyle</w:instrText>
      </w:r>
      <w:r>
        <w:rPr>
          <w:rFonts w:asciiTheme="minorEastAsia" w:hAnsiTheme="minorEastAsia"/>
          <w:b/>
          <w:sz w:val="24"/>
          <w:szCs w:val="24"/>
        </w:rPr>
      </w:r>
      <w:r>
        <w:rPr>
          <w:rFonts w:asciiTheme="minorEastAsia" w:hAnsiTheme="minorEastAsia"/>
          <w:b/>
          <w:sz w:val="24"/>
          <w:szCs w:val="24"/>
        </w:rPr>
        <w:fldChar w:fldCharType="end"/>
      </w:r>
      <w:r w:rsidR="007452CE" w:rsidRPr="007452CE">
        <w:rPr>
          <w:rFonts w:asciiTheme="minorEastAsia" w:hAnsiTheme="minorEastAsia" w:hint="eastAsia"/>
          <w:b/>
          <w:sz w:val="24"/>
          <w:szCs w:val="24"/>
        </w:rPr>
        <w:t>《</w:t>
      </w:r>
      <w:r w:rsidR="00CC28ED">
        <w:rPr>
          <w:rFonts w:asciiTheme="minorEastAsia" w:hAnsiTheme="minorEastAsia" w:hint="eastAsia"/>
          <w:b/>
          <w:sz w:val="24"/>
          <w:szCs w:val="24"/>
        </w:rPr>
        <w:t>变异与进化</w:t>
      </w:r>
      <w:r w:rsidR="007452CE">
        <w:rPr>
          <w:rFonts w:asciiTheme="minorEastAsia" w:hAnsiTheme="minorEastAsia" w:hint="eastAsia"/>
          <w:b/>
          <w:sz w:val="24"/>
          <w:szCs w:val="24"/>
        </w:rPr>
        <w:t>（第</w:t>
      </w:r>
      <w:r w:rsidR="004E0B7A">
        <w:rPr>
          <w:rFonts w:asciiTheme="minorEastAsia" w:hAnsiTheme="minorEastAsia" w:hint="eastAsia"/>
          <w:b/>
          <w:sz w:val="24"/>
          <w:szCs w:val="24"/>
        </w:rPr>
        <w:t>2</w:t>
      </w:r>
      <w:r w:rsidR="007452CE">
        <w:rPr>
          <w:rFonts w:asciiTheme="minorEastAsia" w:hAnsiTheme="minorEastAsia" w:hint="eastAsia"/>
          <w:b/>
          <w:sz w:val="24"/>
          <w:szCs w:val="24"/>
        </w:rPr>
        <w:t>课时）》非选练习</w:t>
      </w:r>
    </w:p>
    <w:p w:rsidR="007452CE" w:rsidRDefault="007452CE" w:rsidP="00F77162">
      <w:pPr>
        <w:spacing w:line="300" w:lineRule="auto"/>
        <w:rPr>
          <w:rFonts w:asciiTheme="minorEastAsia" w:hAnsiTheme="minorEastAsia"/>
          <w:b/>
          <w:sz w:val="24"/>
          <w:szCs w:val="24"/>
        </w:rPr>
      </w:pPr>
    </w:p>
    <w:p w:rsidR="004E0B7A" w:rsidRDefault="0024492C" w:rsidP="00F77162">
      <w:pPr>
        <w:pStyle w:val="a8"/>
        <w:spacing w:line="300" w:lineRule="auto"/>
      </w:pPr>
      <w:r>
        <w:rPr>
          <w:rFonts w:ascii="宋体" w:hAnsi="宋体" w:hint="eastAsia"/>
          <w:szCs w:val="21"/>
        </w:rPr>
        <w:t>1.</w:t>
      </w:r>
      <w:r w:rsidR="004E0B7A" w:rsidRPr="004E0B7A">
        <w:t xml:space="preserve"> </w:t>
      </w:r>
      <w:r w:rsidR="004E0B7A">
        <w:t>血红蛋白分子有两条</w:t>
      </w:r>
      <w:r w:rsidR="004E0B7A">
        <w:rPr>
          <w:i/>
        </w:rPr>
        <w:t>β</w:t>
      </w:r>
      <w:r w:rsidR="004E0B7A">
        <w:t>肽链，控制正常</w:t>
      </w:r>
      <w:r w:rsidR="004E0B7A">
        <w:rPr>
          <w:i/>
        </w:rPr>
        <w:t>β</w:t>
      </w:r>
      <w:r w:rsidR="004E0B7A">
        <w:t>肽链合成的基因为</w:t>
      </w:r>
      <w:r w:rsidR="004E0B7A">
        <w:rPr>
          <w:i/>
        </w:rPr>
        <w:t>Hb</w:t>
      </w:r>
      <w:r w:rsidR="004E0B7A">
        <w:rPr>
          <w:i/>
          <w:vertAlign w:val="superscript"/>
        </w:rPr>
        <w:t>A</w:t>
      </w:r>
      <w:r w:rsidR="004E0B7A">
        <w:t>，</w:t>
      </w:r>
      <w:r w:rsidR="004E0B7A">
        <w:rPr>
          <w:i/>
        </w:rPr>
        <w:t>Hb</w:t>
      </w:r>
      <w:r w:rsidR="004E0B7A">
        <w:rPr>
          <w:i/>
          <w:vertAlign w:val="superscript"/>
        </w:rPr>
        <w:t>S</w:t>
      </w:r>
      <w:r w:rsidR="004E0B7A">
        <w:t>基因控制合成的</w:t>
      </w:r>
      <w:r w:rsidR="004E0B7A">
        <w:rPr>
          <w:i/>
        </w:rPr>
        <w:t>β</w:t>
      </w:r>
      <w:r w:rsidR="004E0B7A">
        <w:t>肽链上第</w:t>
      </w:r>
      <w:r w:rsidR="004E0B7A">
        <w:t>6</w:t>
      </w:r>
      <w:r w:rsidR="004E0B7A">
        <w:t>位氨基酸由谷氨酸变为缬氨酸可导致红细胞呈镰刀型</w:t>
      </w:r>
      <w:r w:rsidR="004E0B7A">
        <w:rPr>
          <w:rFonts w:hint="eastAsia"/>
        </w:rPr>
        <w:t>。</w:t>
      </w:r>
      <w:r w:rsidR="004E0B7A">
        <w:t>下图为</w:t>
      </w:r>
      <w:r w:rsidR="004E0B7A">
        <w:t>20</w:t>
      </w:r>
      <w:r w:rsidR="004E0B7A">
        <w:t>世纪中叶非洲地区</w:t>
      </w:r>
      <w:r w:rsidR="004E0B7A">
        <w:rPr>
          <w:i/>
        </w:rPr>
        <w:t>Hb</w:t>
      </w:r>
      <w:r w:rsidR="004E0B7A">
        <w:rPr>
          <w:i/>
          <w:vertAlign w:val="superscript"/>
        </w:rPr>
        <w:t>S</w:t>
      </w:r>
      <w:r w:rsidR="004E0B7A">
        <w:t>基因与疟疾的分布图，基因型为</w:t>
      </w:r>
      <w:r w:rsidR="004E0B7A">
        <w:rPr>
          <w:i/>
        </w:rPr>
        <w:t>Hb</w:t>
      </w:r>
      <w:r w:rsidR="004E0B7A">
        <w:rPr>
          <w:i/>
          <w:vertAlign w:val="superscript"/>
        </w:rPr>
        <w:t>S</w:t>
      </w:r>
      <w:r w:rsidR="004E0B7A">
        <w:rPr>
          <w:i/>
        </w:rPr>
        <w:t>Hb</w:t>
      </w:r>
      <w:r w:rsidR="004E0B7A">
        <w:rPr>
          <w:i/>
          <w:vertAlign w:val="superscript"/>
        </w:rPr>
        <w:t>S</w:t>
      </w:r>
      <w:r w:rsidR="004E0B7A">
        <w:t>的患者几乎都死于儿童期。</w:t>
      </w:r>
    </w:p>
    <w:p w:rsidR="004E0B7A" w:rsidRDefault="004E0B7A" w:rsidP="00F77162">
      <w:pPr>
        <w:pStyle w:val="a8"/>
        <w:spacing w:line="300" w:lineRule="auto"/>
        <w:jc w:val="center"/>
      </w:pPr>
      <w:r>
        <w:rPr>
          <w:noProof/>
        </w:rPr>
        <w:drawing>
          <wp:inline distT="0" distB="0" distL="0" distR="0">
            <wp:extent cx="3158931" cy="1415332"/>
            <wp:effectExtent l="19050" t="0" r="3369" b="0"/>
            <wp:docPr id="31" name="图片 31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高中试卷网 http://sj.fjjy.or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31" cy="141533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7A" w:rsidRDefault="004E0B7A" w:rsidP="00F77162">
      <w:pPr>
        <w:pStyle w:val="a8"/>
        <w:spacing w:line="300" w:lineRule="auto"/>
        <w:ind w:firstLineChars="50" w:firstLine="105"/>
      </w:pPr>
      <w:r>
        <w:t>请回答问题：</w:t>
      </w:r>
    </w:p>
    <w:p w:rsidR="004E0B7A" w:rsidRDefault="004E0B7A" w:rsidP="00F77162">
      <w:pPr>
        <w:pStyle w:val="a8"/>
        <w:spacing w:line="300" w:lineRule="auto"/>
      </w:pPr>
      <w:r>
        <w:t>（</w:t>
      </w:r>
      <w:r>
        <w:t>1</w:t>
      </w:r>
      <w:r>
        <w:t>）为了明确</w:t>
      </w:r>
      <w:r>
        <w:rPr>
          <w:i/>
        </w:rPr>
        <w:t>Hb</w:t>
      </w:r>
      <w:r>
        <w:rPr>
          <w:i/>
          <w:vertAlign w:val="superscript"/>
        </w:rPr>
        <w:t>A</w:t>
      </w:r>
      <w:r>
        <w:t>基因与</w:t>
      </w:r>
      <w:r>
        <w:rPr>
          <w:i/>
        </w:rPr>
        <w:t>Hb</w:t>
      </w:r>
      <w:r>
        <w:rPr>
          <w:i/>
          <w:vertAlign w:val="superscript"/>
        </w:rPr>
        <w:t>S</w:t>
      </w:r>
      <w:r>
        <w:t>基因的根本差异，应该进行</w:t>
      </w:r>
      <w:r>
        <w:rPr>
          <w:bCs/>
        </w:rPr>
        <w:t>_________</w:t>
      </w:r>
      <w:r>
        <w:t>的结果比对。</w:t>
      </w:r>
    </w:p>
    <w:p w:rsidR="004E0B7A" w:rsidRDefault="004E0B7A" w:rsidP="00F77162">
      <w:pPr>
        <w:pStyle w:val="a8"/>
        <w:spacing w:line="300" w:lineRule="auto"/>
        <w:ind w:left="525" w:hangingChars="250" w:hanging="525"/>
      </w:pPr>
      <w:r>
        <w:t>（</w:t>
      </w:r>
      <w:r>
        <w:t>2</w:t>
      </w:r>
      <w:r>
        <w:t>）</w:t>
      </w:r>
      <w:r>
        <w:rPr>
          <w:rFonts w:hint="eastAsia"/>
        </w:rPr>
        <w:t>基因型为</w:t>
      </w:r>
      <w:r>
        <w:rPr>
          <w:i/>
        </w:rPr>
        <w:t>Hb</w:t>
      </w:r>
      <w:r>
        <w:rPr>
          <w:i/>
          <w:vertAlign w:val="superscript"/>
        </w:rPr>
        <w:t>A</w:t>
      </w:r>
      <w:r>
        <w:rPr>
          <w:i/>
        </w:rPr>
        <w:t>Hb</w:t>
      </w:r>
      <w:r>
        <w:rPr>
          <w:i/>
          <w:vertAlign w:val="superscript"/>
        </w:rPr>
        <w:t>S</w:t>
      </w:r>
      <w:r>
        <w:rPr>
          <w:rFonts w:hint="eastAsia"/>
        </w:rPr>
        <w:t>个体的</w:t>
      </w:r>
      <w:r>
        <w:t>一对等位基因都能表达，其体内一个血红蛋白分子中最少有</w:t>
      </w:r>
      <w:r>
        <w:rPr>
          <w:bCs/>
        </w:rPr>
        <w:t>_________</w:t>
      </w:r>
      <w:r>
        <w:t>条异常肽链。</w:t>
      </w:r>
    </w:p>
    <w:p w:rsidR="004E0B7A" w:rsidRDefault="004E0B7A" w:rsidP="00F77162">
      <w:pPr>
        <w:pStyle w:val="a8"/>
        <w:spacing w:line="300" w:lineRule="auto"/>
        <w:ind w:left="525" w:hangingChars="250" w:hanging="525"/>
      </w:pPr>
      <w:r>
        <w:t>（</w:t>
      </w:r>
      <w:r>
        <w:t>3</w:t>
      </w:r>
      <w:r>
        <w:t>）由图可知，非洲中部</w:t>
      </w:r>
      <w:r>
        <w:rPr>
          <w:i/>
        </w:rPr>
        <w:t>Hb</w:t>
      </w:r>
      <w:r>
        <w:rPr>
          <w:i/>
          <w:vertAlign w:val="superscript"/>
        </w:rPr>
        <w:t>S</w:t>
      </w:r>
      <w:r>
        <w:t>基因和疟疾的分布基本吻合。与基因型为</w:t>
      </w:r>
      <w:r>
        <w:rPr>
          <w:i/>
        </w:rPr>
        <w:t>Hb</w:t>
      </w:r>
      <w:r>
        <w:rPr>
          <w:i/>
          <w:vertAlign w:val="superscript"/>
        </w:rPr>
        <w:t>A</w:t>
      </w:r>
      <w:r>
        <w:rPr>
          <w:i/>
        </w:rPr>
        <w:t>Hb</w:t>
      </w:r>
      <w:r>
        <w:rPr>
          <w:i/>
          <w:vertAlign w:val="superscript"/>
        </w:rPr>
        <w:t>A</w:t>
      </w:r>
      <w:r>
        <w:t>的个体相比，</w:t>
      </w:r>
      <w:r>
        <w:rPr>
          <w:i/>
        </w:rPr>
        <w:t>Hb</w:t>
      </w:r>
      <w:r>
        <w:rPr>
          <w:i/>
          <w:vertAlign w:val="superscript"/>
        </w:rPr>
        <w:t>A</w:t>
      </w:r>
      <w:r>
        <w:rPr>
          <w:i/>
        </w:rPr>
        <w:t>Hb</w:t>
      </w:r>
      <w:r>
        <w:rPr>
          <w:i/>
          <w:vertAlign w:val="superscript"/>
        </w:rPr>
        <w:t>S</w:t>
      </w:r>
      <w:r>
        <w:t>个体对疟疾病原体抵抗力较强，因此疟疾疫区比非疫区的</w:t>
      </w:r>
      <w:r>
        <w:rPr>
          <w:bCs/>
        </w:rPr>
        <w:t>_________</w:t>
      </w:r>
      <w:r>
        <w:t>基因频率高。在疫区使用青蒿素</w:t>
      </w:r>
      <w:r>
        <w:rPr>
          <w:rFonts w:hint="eastAsia"/>
        </w:rPr>
        <w:t>治愈</w:t>
      </w:r>
      <w:r>
        <w:t>疟疾患者后，人群中基因型为</w:t>
      </w:r>
      <w:r>
        <w:rPr>
          <w:bCs/>
        </w:rPr>
        <w:t>_________</w:t>
      </w:r>
      <w:r>
        <w:t>的个体比例上升。以上事实可说明突变的有利或有害取决于所生存的环境，自然选择使得</w:t>
      </w:r>
      <w:r>
        <w:rPr>
          <w:bCs/>
        </w:rPr>
        <w:t>_________</w:t>
      </w:r>
      <w:r>
        <w:t>发生改变，</w:t>
      </w:r>
      <w:r>
        <w:rPr>
          <w:rFonts w:hint="eastAsia"/>
        </w:rPr>
        <w:t>导致</w:t>
      </w:r>
      <w:r>
        <w:t>生物进化。</w:t>
      </w:r>
    </w:p>
    <w:p w:rsidR="004E0B7A" w:rsidRDefault="004E0B7A" w:rsidP="00F77162">
      <w:pPr>
        <w:tabs>
          <w:tab w:val="left" w:pos="4678"/>
        </w:tabs>
        <w:spacing w:line="300" w:lineRule="auto"/>
        <w:rPr>
          <w:rFonts w:ascii="Times New Roman" w:hAnsi="Times New Roman" w:cs="Times New Roman"/>
          <w:color w:val="FF0000"/>
          <w:spacing w:val="-2"/>
        </w:rPr>
      </w:pPr>
    </w:p>
    <w:p w:rsidR="004E0B7A" w:rsidRPr="004E0B7A" w:rsidRDefault="00CC28ED" w:rsidP="00F77162">
      <w:pPr>
        <w:spacing w:line="300" w:lineRule="auto"/>
        <w:rPr>
          <w:rFonts w:ascii="Times New Roman" w:hAnsi="Times New Roman"/>
          <w:color w:val="FF0000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．</w:t>
      </w:r>
      <w:r w:rsidR="004E0B7A">
        <w:rPr>
          <w:szCs w:val="21"/>
        </w:rPr>
        <w:t>银鱼科鱼类是我国重要经济鱼类，但其分类和进化问题尚存不少争议。按照传统的分类观点，太湖新银鱼、小齿日本银鱼、有明银鱼三个物种分别属于三个不同的属。科学工作者在传统研究的基础上，采取分子生物学手段，对它们进行了进一步的研究。</w:t>
      </w:r>
    </w:p>
    <w:p w:rsidR="004E0B7A" w:rsidRDefault="004E0B7A" w:rsidP="00F77162">
      <w:pPr>
        <w:adjustRightInd w:val="0"/>
        <w:spacing w:line="300" w:lineRule="auto"/>
        <w:ind w:firstLineChars="100" w:firstLine="211"/>
        <w:textAlignment w:val="baseline"/>
        <w:rPr>
          <w:rFonts w:eastAsia="楷体"/>
          <w:kern w:val="0"/>
          <w:szCs w:val="20"/>
        </w:rPr>
      </w:pPr>
      <w:r>
        <w:rPr>
          <w:rFonts w:eastAsia="楷体"/>
          <w:b/>
          <w:kern w:val="0"/>
          <w:szCs w:val="20"/>
        </w:rPr>
        <w:t>资料</w:t>
      </w:r>
      <w:r>
        <w:rPr>
          <w:rFonts w:eastAsia="楷体"/>
          <w:b/>
          <w:kern w:val="0"/>
          <w:szCs w:val="20"/>
        </w:rPr>
        <w:t xml:space="preserve">1  </w:t>
      </w:r>
      <w:r>
        <w:rPr>
          <w:rFonts w:eastAsia="楷体"/>
          <w:kern w:val="0"/>
          <w:szCs w:val="20"/>
        </w:rPr>
        <w:t>基于传统的调查法，已知三种银鱼自然条件下的分布区域见图</w:t>
      </w:r>
      <w:r>
        <w:rPr>
          <w:rFonts w:eastAsia="楷体"/>
          <w:kern w:val="0"/>
          <w:szCs w:val="20"/>
        </w:rPr>
        <w:t>1</w:t>
      </w:r>
      <w:r>
        <w:rPr>
          <w:rFonts w:eastAsia="楷体"/>
          <w:kern w:val="0"/>
          <w:szCs w:val="20"/>
        </w:rPr>
        <w:t>。</w:t>
      </w:r>
    </w:p>
    <w:p w:rsidR="004E0B7A" w:rsidRDefault="004E0B7A" w:rsidP="00F77162">
      <w:pPr>
        <w:adjustRightInd w:val="0"/>
        <w:spacing w:line="300" w:lineRule="auto"/>
        <w:jc w:val="center"/>
        <w:textAlignment w:val="baseline"/>
        <w:rPr>
          <w:rFonts w:eastAsia="楷体"/>
          <w:kern w:val="0"/>
          <w:szCs w:val="20"/>
        </w:rPr>
      </w:pPr>
      <w:r>
        <w:rPr>
          <w:noProof/>
        </w:rPr>
        <w:drawing>
          <wp:inline distT="0" distB="0" distL="114300" distR="114300">
            <wp:extent cx="2743200" cy="2130949"/>
            <wp:effectExtent l="0" t="0" r="0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1368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0B7A" w:rsidRDefault="004E0B7A" w:rsidP="00F77162">
      <w:pPr>
        <w:adjustRightInd w:val="0"/>
        <w:spacing w:line="300" w:lineRule="auto"/>
        <w:jc w:val="center"/>
        <w:textAlignment w:val="baseline"/>
        <w:rPr>
          <w:rFonts w:eastAsia="楷体"/>
          <w:i/>
          <w:kern w:val="0"/>
          <w:szCs w:val="20"/>
        </w:rPr>
      </w:pPr>
      <w:r>
        <w:rPr>
          <w:rFonts w:eastAsia="楷体"/>
          <w:kern w:val="0"/>
          <w:szCs w:val="20"/>
        </w:rPr>
        <w:t>图</w:t>
      </w:r>
      <w:r>
        <w:rPr>
          <w:rFonts w:eastAsia="楷体"/>
          <w:kern w:val="0"/>
          <w:szCs w:val="20"/>
        </w:rPr>
        <w:t>1</w:t>
      </w:r>
      <w:r w:rsidR="007669F0">
        <w:rPr>
          <w:rFonts w:eastAsia="楷体" w:hint="eastAsia"/>
          <w:kern w:val="0"/>
          <w:szCs w:val="20"/>
        </w:rPr>
        <w:t xml:space="preserve"> </w:t>
      </w:r>
      <w:r>
        <w:rPr>
          <w:rFonts w:eastAsia="楷体"/>
          <w:kern w:val="0"/>
          <w:szCs w:val="20"/>
        </w:rPr>
        <w:t>三种银鱼自然条件下分布区域</w:t>
      </w:r>
    </w:p>
    <w:p w:rsidR="004E0B7A" w:rsidRDefault="004E0B7A" w:rsidP="00F77162">
      <w:pPr>
        <w:adjustRightInd w:val="0"/>
        <w:spacing w:line="300" w:lineRule="auto"/>
        <w:textAlignment w:val="baseline"/>
        <w:rPr>
          <w:rFonts w:eastAsia="楷体"/>
          <w:kern w:val="0"/>
          <w:szCs w:val="20"/>
        </w:rPr>
      </w:pPr>
      <w:r>
        <w:rPr>
          <w:rFonts w:eastAsia="楷体"/>
          <w:b/>
          <w:kern w:val="0"/>
          <w:szCs w:val="20"/>
        </w:rPr>
        <w:lastRenderedPageBreak/>
        <w:t>资料</w:t>
      </w:r>
      <w:r>
        <w:rPr>
          <w:rFonts w:eastAsia="楷体"/>
          <w:b/>
          <w:kern w:val="0"/>
          <w:szCs w:val="20"/>
        </w:rPr>
        <w:t xml:space="preserve">2  </w:t>
      </w:r>
      <w:r>
        <w:rPr>
          <w:rFonts w:eastAsia="楷体"/>
          <w:kern w:val="0"/>
          <w:szCs w:val="20"/>
        </w:rPr>
        <w:t>三种银鱼线粒体</w:t>
      </w:r>
      <w:r>
        <w:rPr>
          <w:rFonts w:eastAsia="楷体"/>
          <w:kern w:val="0"/>
          <w:szCs w:val="20"/>
        </w:rPr>
        <w:t>COII</w:t>
      </w:r>
      <w:r>
        <w:rPr>
          <w:rFonts w:eastAsia="楷体"/>
          <w:kern w:val="0"/>
          <w:szCs w:val="20"/>
        </w:rPr>
        <w:t>基因和</w:t>
      </w:r>
      <w:r>
        <w:rPr>
          <w:rFonts w:eastAsia="楷体"/>
          <w:kern w:val="0"/>
          <w:szCs w:val="20"/>
        </w:rPr>
        <w:t>Cytb</w:t>
      </w:r>
      <w:r>
        <w:rPr>
          <w:rFonts w:eastAsia="楷体"/>
          <w:kern w:val="0"/>
          <w:szCs w:val="20"/>
        </w:rPr>
        <w:t>基因核苷酸序列比较数据如下：</w:t>
      </w:r>
    </w:p>
    <w:tbl>
      <w:tblPr>
        <w:tblpPr w:leftFromText="180" w:rightFromText="180" w:vertAnchor="text" w:tblpXSpec="center" w:tblpY="1"/>
        <w:tblOverlap w:val="never"/>
        <w:tblW w:w="8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74"/>
        <w:gridCol w:w="1949"/>
        <w:gridCol w:w="1713"/>
      </w:tblGrid>
      <w:tr w:rsidR="004E0B7A" w:rsidTr="007669F0">
        <w:tc>
          <w:tcPr>
            <w:tcW w:w="4774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COII基因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Cytb基因</w:t>
            </w:r>
          </w:p>
        </w:tc>
      </w:tr>
      <w:tr w:rsidR="004E0B7A" w:rsidTr="007669F0">
        <w:tc>
          <w:tcPr>
            <w:tcW w:w="4774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太湖新银鱼</w:t>
            </w:r>
            <w:r>
              <w:rPr>
                <w:rFonts w:ascii="楷体" w:eastAsia="楷体" w:hAnsi="楷体" w:hint="eastAsia"/>
                <w:kern w:val="0"/>
                <w:szCs w:val="21"/>
              </w:rPr>
              <w:t>—</w:t>
            </w:r>
            <w:r>
              <w:rPr>
                <w:rFonts w:ascii="楷体" w:eastAsia="楷体" w:hAnsi="楷体"/>
                <w:kern w:val="0"/>
                <w:szCs w:val="21"/>
              </w:rPr>
              <w:t>小齿日本银鱼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13.41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26.57</w:t>
            </w:r>
          </w:p>
        </w:tc>
      </w:tr>
      <w:tr w:rsidR="004E0B7A" w:rsidTr="007669F0">
        <w:tc>
          <w:tcPr>
            <w:tcW w:w="4774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太湖新银鱼</w:t>
            </w:r>
            <w:r>
              <w:rPr>
                <w:rFonts w:ascii="楷体" w:eastAsia="楷体" w:hAnsi="楷体" w:hint="eastAsia"/>
                <w:kern w:val="0"/>
                <w:szCs w:val="21"/>
              </w:rPr>
              <w:t>—</w:t>
            </w:r>
            <w:r>
              <w:rPr>
                <w:rFonts w:ascii="楷体" w:eastAsia="楷体" w:hAnsi="楷体"/>
                <w:kern w:val="0"/>
                <w:szCs w:val="21"/>
              </w:rPr>
              <w:t>有明银鱼有明银鱼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14.89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24.32</w:t>
            </w:r>
          </w:p>
        </w:tc>
      </w:tr>
      <w:tr w:rsidR="004E0B7A" w:rsidTr="007669F0">
        <w:tc>
          <w:tcPr>
            <w:tcW w:w="4774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有明银鱼</w:t>
            </w:r>
            <w:r>
              <w:rPr>
                <w:rFonts w:ascii="楷体" w:eastAsia="楷体" w:hAnsi="楷体" w:hint="eastAsia"/>
                <w:kern w:val="0"/>
                <w:szCs w:val="21"/>
              </w:rPr>
              <w:t>—</w:t>
            </w:r>
            <w:r>
              <w:rPr>
                <w:rFonts w:ascii="楷体" w:eastAsia="楷体" w:hAnsi="楷体"/>
                <w:kern w:val="0"/>
                <w:szCs w:val="21"/>
              </w:rPr>
              <w:t>小齿日本银鱼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13.59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jc w:val="center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/>
                <w:kern w:val="0"/>
                <w:szCs w:val="21"/>
              </w:rPr>
              <w:t>16.95</w:t>
            </w:r>
          </w:p>
        </w:tc>
      </w:tr>
      <w:tr w:rsidR="004E0B7A" w:rsidTr="007669F0">
        <w:tc>
          <w:tcPr>
            <w:tcW w:w="8436" w:type="dxa"/>
            <w:gridSpan w:val="3"/>
            <w:shd w:val="clear" w:color="auto" w:fill="auto"/>
            <w:vAlign w:val="center"/>
          </w:tcPr>
          <w:p w:rsidR="004E0B7A" w:rsidRDefault="004E0B7A" w:rsidP="00F77162">
            <w:pPr>
              <w:adjustRightInd w:val="0"/>
              <w:spacing w:line="300" w:lineRule="auto"/>
              <w:textAlignment w:val="baseline"/>
              <w:rPr>
                <w:rFonts w:ascii="楷体" w:eastAsia="楷体" w:hAnsi="楷体"/>
                <w:kern w:val="0"/>
                <w:szCs w:val="21"/>
              </w:rPr>
            </w:pPr>
            <w:r>
              <w:rPr>
                <w:rFonts w:ascii="楷体" w:eastAsia="楷体" w:hAnsi="楷体" w:hint="eastAsia"/>
                <w:kern w:val="0"/>
                <w:szCs w:val="21"/>
              </w:rPr>
              <w:t>注：</w:t>
            </w:r>
            <w:r>
              <w:rPr>
                <w:rFonts w:ascii="楷体" w:eastAsia="楷体" w:hAnsi="楷体"/>
                <w:kern w:val="0"/>
                <w:szCs w:val="21"/>
              </w:rPr>
              <w:t>三个物种同一基因的基因序列长度相等</w:t>
            </w:r>
            <w:r>
              <w:rPr>
                <w:rFonts w:ascii="楷体" w:eastAsia="楷体" w:hAnsi="楷体" w:hint="eastAsia"/>
                <w:kern w:val="0"/>
                <w:szCs w:val="21"/>
              </w:rPr>
              <w:t>;</w:t>
            </w:r>
            <w:r>
              <w:rPr>
                <w:rFonts w:ascii="楷体" w:eastAsia="楷体" w:hAnsi="楷体"/>
                <w:kern w:val="0"/>
                <w:szCs w:val="21"/>
              </w:rPr>
              <w:t xml:space="preserve"> 表中数据表示的是核苷酸序列差异百分比。</w:t>
            </w:r>
          </w:p>
        </w:tc>
      </w:tr>
    </w:tbl>
    <w:p w:rsidR="004E0B7A" w:rsidRDefault="004E0B7A" w:rsidP="00F77162">
      <w:pPr>
        <w:spacing w:line="300" w:lineRule="auto"/>
        <w:ind w:left="315" w:hanging="315"/>
        <w:rPr>
          <w:szCs w:val="21"/>
        </w:rPr>
      </w:pPr>
      <w:r>
        <w:rPr>
          <w:szCs w:val="21"/>
        </w:rPr>
        <w:t>基于上述资料，回答以下问题：</w:t>
      </w:r>
    </w:p>
    <w:p w:rsidR="004E0B7A" w:rsidRDefault="004E0B7A" w:rsidP="00F77162">
      <w:pPr>
        <w:spacing w:line="300" w:lineRule="auto"/>
        <w:ind w:left="525" w:hangingChars="250" w:hanging="525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）自然条件下，太湖新银鱼和小齿日本银鱼</w:t>
      </w:r>
      <w:r w:rsidR="00737070" w:rsidRPr="00737070">
        <w:rPr>
          <w:rFonts w:hint="eastAsia"/>
          <w:szCs w:val="21"/>
          <w:u w:val="single"/>
        </w:rPr>
        <w:t xml:space="preserve">        </w:t>
      </w:r>
      <w:r>
        <w:rPr>
          <w:szCs w:val="21"/>
        </w:rPr>
        <w:t>（</w:t>
      </w:r>
      <w:r>
        <w:rPr>
          <w:rFonts w:hint="eastAsia"/>
          <w:szCs w:val="21"/>
        </w:rPr>
        <w:t>填写“</w:t>
      </w:r>
      <w:r>
        <w:rPr>
          <w:szCs w:val="21"/>
        </w:rPr>
        <w:t>会</w:t>
      </w:r>
      <w:r>
        <w:rPr>
          <w:rFonts w:hint="eastAsia"/>
          <w:szCs w:val="21"/>
        </w:rPr>
        <w:t>”或“</w:t>
      </w:r>
      <w:r>
        <w:rPr>
          <w:szCs w:val="21"/>
        </w:rPr>
        <w:t>不会</w:t>
      </w:r>
      <w:r>
        <w:rPr>
          <w:rFonts w:hint="eastAsia"/>
          <w:szCs w:val="21"/>
        </w:rPr>
        <w:t>”</w:t>
      </w:r>
      <w:r>
        <w:rPr>
          <w:szCs w:val="21"/>
        </w:rPr>
        <w:t>）发生基因交流，原因是</w:t>
      </w:r>
      <w:r w:rsidR="00737070" w:rsidRPr="00737070">
        <w:rPr>
          <w:rFonts w:hint="eastAsia"/>
          <w:szCs w:val="21"/>
          <w:u w:val="single"/>
        </w:rPr>
        <w:t xml:space="preserve">            </w:t>
      </w:r>
      <w:r>
        <w:rPr>
          <w:szCs w:val="21"/>
        </w:rPr>
        <w:t>。</w:t>
      </w:r>
    </w:p>
    <w:p w:rsidR="004E0B7A" w:rsidRDefault="004E0B7A" w:rsidP="00F77162">
      <w:pPr>
        <w:spacing w:line="300" w:lineRule="auto"/>
        <w:ind w:left="525" w:hangingChars="250" w:hanging="525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）太湖新银鱼和小齿日本银鱼</w:t>
      </w:r>
      <w:r>
        <w:rPr>
          <w:rFonts w:hint="eastAsia"/>
          <w:szCs w:val="21"/>
        </w:rPr>
        <w:t>亲缘关系如何？</w:t>
      </w:r>
      <w:r>
        <w:rPr>
          <w:szCs w:val="21"/>
        </w:rPr>
        <w:t>请表明你的观点</w:t>
      </w:r>
      <w:r>
        <w:rPr>
          <w:rFonts w:hint="eastAsia"/>
          <w:szCs w:val="21"/>
        </w:rPr>
        <w:t>。</w:t>
      </w:r>
      <w:r>
        <w:rPr>
          <w:szCs w:val="21"/>
        </w:rPr>
        <w:t>从资料</w:t>
      </w:r>
      <w:r>
        <w:rPr>
          <w:szCs w:val="21"/>
        </w:rPr>
        <w:t>2</w:t>
      </w:r>
      <w:r>
        <w:rPr>
          <w:szCs w:val="21"/>
        </w:rPr>
        <w:t>中找到支持你观点的数据，进行简单的论述。</w:t>
      </w:r>
    </w:p>
    <w:p w:rsidR="00737070" w:rsidRPr="00737070" w:rsidRDefault="00737070" w:rsidP="00F77162">
      <w:pPr>
        <w:spacing w:line="300" w:lineRule="auto"/>
        <w:ind w:left="525" w:hangingChars="250" w:hanging="525"/>
        <w:rPr>
          <w:szCs w:val="21"/>
          <w:u w:val="single"/>
        </w:rPr>
      </w:pPr>
      <w:r>
        <w:rPr>
          <w:rFonts w:hint="eastAsia"/>
          <w:szCs w:val="21"/>
        </w:rPr>
        <w:t xml:space="preserve">    </w:t>
      </w:r>
      <w:r w:rsidRPr="00737070">
        <w:rPr>
          <w:rFonts w:hint="eastAsia"/>
          <w:szCs w:val="21"/>
          <w:u w:val="single"/>
        </w:rPr>
        <w:t xml:space="preserve">                                                                  </w:t>
      </w:r>
    </w:p>
    <w:p w:rsidR="004E0B7A" w:rsidRDefault="004E0B7A" w:rsidP="00F77162">
      <w:pPr>
        <w:adjustRightInd w:val="0"/>
        <w:spacing w:line="300" w:lineRule="auto"/>
        <w:ind w:left="1155" w:hangingChars="550" w:hanging="1155"/>
        <w:textAlignment w:val="baseline"/>
        <w:rPr>
          <w:kern w:val="0"/>
          <w:szCs w:val="20"/>
        </w:rPr>
      </w:pPr>
      <w:r>
        <w:rPr>
          <w:kern w:val="0"/>
          <w:szCs w:val="20"/>
        </w:rPr>
        <w:t>（</w:t>
      </w:r>
      <w:r>
        <w:rPr>
          <w:kern w:val="0"/>
          <w:szCs w:val="20"/>
        </w:rPr>
        <w:t>3</w:t>
      </w:r>
      <w:r>
        <w:rPr>
          <w:kern w:val="0"/>
          <w:szCs w:val="20"/>
        </w:rPr>
        <w:t>）三个物种的线粒体</w:t>
      </w:r>
      <w:r>
        <w:rPr>
          <w:kern w:val="0"/>
          <w:szCs w:val="20"/>
        </w:rPr>
        <w:t>COII</w:t>
      </w:r>
      <w:r>
        <w:rPr>
          <w:kern w:val="0"/>
          <w:szCs w:val="20"/>
        </w:rPr>
        <w:t>基因和</w:t>
      </w:r>
      <w:r>
        <w:rPr>
          <w:kern w:val="0"/>
          <w:szCs w:val="20"/>
        </w:rPr>
        <w:t>Cytb</w:t>
      </w:r>
      <w:r>
        <w:rPr>
          <w:kern w:val="0"/>
          <w:szCs w:val="20"/>
        </w:rPr>
        <w:t>基因核苷酸序列都存在差异，这些差异属于</w:t>
      </w:r>
      <w:r w:rsidR="00737070" w:rsidRPr="00737070">
        <w:rPr>
          <w:rFonts w:hint="eastAsia"/>
          <w:kern w:val="0"/>
          <w:szCs w:val="20"/>
          <w:u w:val="single"/>
        </w:rPr>
        <w:t xml:space="preserve">       </w:t>
      </w:r>
    </w:p>
    <w:p w:rsidR="004E0B7A" w:rsidRDefault="004E0B7A" w:rsidP="00F77162">
      <w:pPr>
        <w:adjustRightInd w:val="0"/>
        <w:spacing w:line="300" w:lineRule="auto"/>
        <w:ind w:leftChars="200" w:left="1155" w:hangingChars="350" w:hanging="735"/>
        <w:textAlignment w:val="baseline"/>
        <w:rPr>
          <w:kern w:val="0"/>
          <w:szCs w:val="20"/>
        </w:rPr>
      </w:pPr>
      <w:r>
        <w:rPr>
          <w:kern w:val="0"/>
          <w:szCs w:val="20"/>
        </w:rPr>
        <w:t>多样性，这种多样性的形成主要是</w:t>
      </w:r>
      <w:r w:rsidR="00516DF7">
        <w:rPr>
          <w:rFonts w:hint="eastAsia"/>
          <w:kern w:val="0"/>
          <w:szCs w:val="20"/>
        </w:rPr>
        <w:t xml:space="preserve"> </w:t>
      </w:r>
      <w:r w:rsidR="00516DF7" w:rsidRPr="00516DF7">
        <w:rPr>
          <w:rFonts w:hint="eastAsia"/>
          <w:kern w:val="0"/>
          <w:szCs w:val="20"/>
          <w:u w:val="single"/>
        </w:rPr>
        <w:t xml:space="preserve">           </w:t>
      </w:r>
      <w:r>
        <w:rPr>
          <w:kern w:val="0"/>
          <w:szCs w:val="20"/>
        </w:rPr>
        <w:t>的结果。</w:t>
      </w:r>
    </w:p>
    <w:p w:rsidR="00595680" w:rsidRPr="004E0B7A" w:rsidRDefault="00595680" w:rsidP="00F77162">
      <w:pPr>
        <w:spacing w:line="300" w:lineRule="auto"/>
        <w:ind w:left="315" w:hanging="315"/>
        <w:rPr>
          <w:szCs w:val="21"/>
        </w:rPr>
      </w:pPr>
      <w:bookmarkStart w:id="0" w:name="_GoBack"/>
      <w:bookmarkEnd w:id="0"/>
    </w:p>
    <w:sectPr w:rsidR="00595680" w:rsidRPr="004E0B7A" w:rsidSect="003740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D27" w:rsidRDefault="00CC7D27" w:rsidP="007452CE">
      <w:r>
        <w:separator/>
      </w:r>
    </w:p>
  </w:endnote>
  <w:endnote w:type="continuationSeparator" w:id="1">
    <w:p w:rsidR="00CC7D27" w:rsidRDefault="00CC7D27" w:rsidP="007452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D27" w:rsidRDefault="00CC7D27" w:rsidP="007452CE">
      <w:r>
        <w:separator/>
      </w:r>
    </w:p>
  </w:footnote>
  <w:footnote w:type="continuationSeparator" w:id="1">
    <w:p w:rsidR="00CC7D27" w:rsidRDefault="00CC7D27" w:rsidP="007452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6869"/>
    <w:rsid w:val="00024D35"/>
    <w:rsid w:val="00172CFC"/>
    <w:rsid w:val="0024492C"/>
    <w:rsid w:val="00317102"/>
    <w:rsid w:val="0037306B"/>
    <w:rsid w:val="003740EA"/>
    <w:rsid w:val="003D6377"/>
    <w:rsid w:val="004E0B7A"/>
    <w:rsid w:val="00507AC0"/>
    <w:rsid w:val="00516DF7"/>
    <w:rsid w:val="00595680"/>
    <w:rsid w:val="006747C8"/>
    <w:rsid w:val="006838EF"/>
    <w:rsid w:val="00737070"/>
    <w:rsid w:val="007452CE"/>
    <w:rsid w:val="007669F0"/>
    <w:rsid w:val="00963DC4"/>
    <w:rsid w:val="009D6869"/>
    <w:rsid w:val="00B2786C"/>
    <w:rsid w:val="00BB50F9"/>
    <w:rsid w:val="00C841AC"/>
    <w:rsid w:val="00CC28ED"/>
    <w:rsid w:val="00CC7D27"/>
    <w:rsid w:val="00D03B4A"/>
    <w:rsid w:val="00ED7D54"/>
    <w:rsid w:val="00F7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2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2CE"/>
    <w:rPr>
      <w:sz w:val="18"/>
      <w:szCs w:val="18"/>
    </w:rPr>
  </w:style>
  <w:style w:type="paragraph" w:styleId="a5">
    <w:name w:val="Body Text"/>
    <w:basedOn w:val="a"/>
    <w:link w:val="Char1"/>
    <w:qFormat/>
    <w:rsid w:val="0024492C"/>
    <w:pPr>
      <w:spacing w:after="120"/>
    </w:pPr>
    <w:rPr>
      <w:rFonts w:ascii="Times New Roman" w:eastAsia="宋体" w:hAnsi="Times New Roman" w:cs="Times New Roman"/>
      <w:szCs w:val="24"/>
      <w:lang w:val="zh-CN"/>
    </w:rPr>
  </w:style>
  <w:style w:type="character" w:customStyle="1" w:styleId="Char1">
    <w:name w:val="正文文本 Char"/>
    <w:basedOn w:val="a0"/>
    <w:link w:val="a5"/>
    <w:qFormat/>
    <w:rsid w:val="0024492C"/>
    <w:rPr>
      <w:rFonts w:ascii="Times New Roman" w:eastAsia="宋体" w:hAnsi="Times New Roman" w:cs="Times New Roman"/>
      <w:szCs w:val="24"/>
      <w:lang w:val="zh-CN"/>
    </w:rPr>
  </w:style>
  <w:style w:type="character" w:customStyle="1" w:styleId="DefaultParagraphChar">
    <w:name w:val="DefaultParagraph Char"/>
    <w:basedOn w:val="a0"/>
    <w:link w:val="DefaultParagraph"/>
    <w:rsid w:val="0024492C"/>
    <w:rPr>
      <w:rFonts w:hAnsi="Calibri"/>
    </w:rPr>
  </w:style>
  <w:style w:type="paragraph" w:customStyle="1" w:styleId="DefaultParagraph">
    <w:name w:val="DefaultParagraph"/>
    <w:link w:val="DefaultParagraphChar"/>
    <w:rsid w:val="0024492C"/>
    <w:rPr>
      <w:rFonts w:hAnsi="Calibri"/>
    </w:rPr>
  </w:style>
  <w:style w:type="paragraph" w:styleId="a6">
    <w:name w:val="Balloon Text"/>
    <w:basedOn w:val="a"/>
    <w:link w:val="Char2"/>
    <w:uiPriority w:val="99"/>
    <w:semiHidden/>
    <w:unhideWhenUsed/>
    <w:rsid w:val="0031710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17102"/>
    <w:rPr>
      <w:sz w:val="18"/>
      <w:szCs w:val="18"/>
    </w:rPr>
  </w:style>
  <w:style w:type="character" w:customStyle="1" w:styleId="CharChar2">
    <w:name w:val="Char Char2"/>
    <w:basedOn w:val="a0"/>
    <w:link w:val="0"/>
    <w:qFormat/>
    <w:rsid w:val="00317102"/>
    <w:rPr>
      <w:rFonts w:ascii="宋体" w:hAnsi="Courier New" w:cs="Courier New"/>
      <w:szCs w:val="21"/>
    </w:rPr>
  </w:style>
  <w:style w:type="paragraph" w:customStyle="1" w:styleId="0">
    <w:name w:val="纯文本_0"/>
    <w:basedOn w:val="a"/>
    <w:link w:val="CharChar2"/>
    <w:qFormat/>
    <w:rsid w:val="00317102"/>
    <w:rPr>
      <w:rFonts w:ascii="宋体" w:hAnsi="Courier New" w:cs="Courier New"/>
      <w:szCs w:val="21"/>
    </w:rPr>
  </w:style>
  <w:style w:type="paragraph" w:customStyle="1" w:styleId="NewNewNewNewNewNew">
    <w:name w:val="正文 New New New New New New"/>
    <w:qFormat/>
    <w:rsid w:val="00CC28E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7">
    <w:name w:val="List Paragraph"/>
    <w:basedOn w:val="a"/>
    <w:uiPriority w:val="34"/>
    <w:qFormat/>
    <w:rsid w:val="004E0B7A"/>
    <w:pPr>
      <w:ind w:firstLineChars="200" w:firstLine="420"/>
    </w:pPr>
    <w:rPr>
      <w:rFonts w:ascii="Calibri" w:eastAsia="宋体" w:hAnsi="Calibri" w:cs="Times New Roman"/>
      <w:color w:val="000000"/>
      <w:sz w:val="24"/>
    </w:rPr>
  </w:style>
  <w:style w:type="paragraph" w:styleId="a8">
    <w:name w:val="No Spacing"/>
    <w:uiPriority w:val="1"/>
    <w:qFormat/>
    <w:rsid w:val="004E0B7A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2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2CE"/>
    <w:rPr>
      <w:sz w:val="18"/>
      <w:szCs w:val="18"/>
    </w:rPr>
  </w:style>
  <w:style w:type="paragraph" w:styleId="a5">
    <w:name w:val="Body Text"/>
    <w:basedOn w:val="a"/>
    <w:link w:val="Char1"/>
    <w:qFormat/>
    <w:rsid w:val="0024492C"/>
    <w:pPr>
      <w:spacing w:after="120"/>
    </w:pPr>
    <w:rPr>
      <w:rFonts w:ascii="Times New Roman" w:eastAsia="宋体" w:hAnsi="Times New Roman" w:cs="Times New Roman"/>
      <w:szCs w:val="24"/>
      <w:lang w:val="zh-CN"/>
    </w:rPr>
  </w:style>
  <w:style w:type="character" w:customStyle="1" w:styleId="Char1">
    <w:name w:val="正文文本 Char"/>
    <w:basedOn w:val="a0"/>
    <w:link w:val="a5"/>
    <w:qFormat/>
    <w:rsid w:val="0024492C"/>
    <w:rPr>
      <w:rFonts w:ascii="Times New Roman" w:eastAsia="宋体" w:hAnsi="Times New Roman" w:cs="Times New Roman"/>
      <w:szCs w:val="24"/>
      <w:lang w:val="zh-CN"/>
    </w:rPr>
  </w:style>
  <w:style w:type="character" w:customStyle="1" w:styleId="DefaultParagraphChar">
    <w:name w:val="DefaultParagraph Char"/>
    <w:basedOn w:val="a0"/>
    <w:link w:val="DefaultParagraph"/>
    <w:rsid w:val="0024492C"/>
    <w:rPr>
      <w:rFonts w:hAnsi="Calibri"/>
    </w:rPr>
  </w:style>
  <w:style w:type="paragraph" w:customStyle="1" w:styleId="DefaultParagraph">
    <w:name w:val="DefaultParagraph"/>
    <w:link w:val="DefaultParagraphChar"/>
    <w:rsid w:val="0024492C"/>
    <w:rPr>
      <w:rFonts w:hAnsi="Calibri"/>
    </w:rPr>
  </w:style>
  <w:style w:type="paragraph" w:styleId="a6">
    <w:name w:val="Balloon Text"/>
    <w:basedOn w:val="a"/>
    <w:link w:val="Char2"/>
    <w:uiPriority w:val="99"/>
    <w:semiHidden/>
    <w:unhideWhenUsed/>
    <w:rsid w:val="0031710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17102"/>
    <w:rPr>
      <w:sz w:val="18"/>
      <w:szCs w:val="18"/>
    </w:rPr>
  </w:style>
  <w:style w:type="character" w:customStyle="1" w:styleId="CharChar2">
    <w:name w:val="Char Char2"/>
    <w:basedOn w:val="a0"/>
    <w:link w:val="0"/>
    <w:qFormat/>
    <w:rsid w:val="00317102"/>
    <w:rPr>
      <w:rFonts w:ascii="宋体" w:hAnsi="Courier New" w:cs="Courier New"/>
      <w:szCs w:val="21"/>
    </w:rPr>
  </w:style>
  <w:style w:type="paragraph" w:customStyle="1" w:styleId="0">
    <w:name w:val="纯文本_0"/>
    <w:basedOn w:val="a"/>
    <w:link w:val="CharChar2"/>
    <w:qFormat/>
    <w:rsid w:val="00317102"/>
    <w:rPr>
      <w:rFonts w:ascii="宋体" w:hAnsi="Courier New" w:cs="Courier New"/>
      <w:szCs w:val="21"/>
    </w:rPr>
  </w:style>
  <w:style w:type="paragraph" w:customStyle="1" w:styleId="NewNewNewNewNewNew">
    <w:name w:val="正文 New New New New New New"/>
    <w:qFormat/>
    <w:rsid w:val="00CC28ED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7">
    <w:name w:val="List Paragraph"/>
    <w:basedOn w:val="a"/>
    <w:uiPriority w:val="34"/>
    <w:qFormat/>
    <w:rsid w:val="004E0B7A"/>
    <w:pPr>
      <w:ind w:firstLineChars="200" w:firstLine="420"/>
    </w:pPr>
    <w:rPr>
      <w:rFonts w:ascii="Calibri" w:eastAsia="宋体" w:hAnsi="Calibri" w:cs="Times New Roman"/>
      <w:color w:val="000000"/>
      <w:sz w:val="24"/>
    </w:rPr>
  </w:style>
  <w:style w:type="paragraph" w:styleId="a8">
    <w:name w:val="No Spacing"/>
    <w:uiPriority w:val="1"/>
    <w:qFormat/>
    <w:rsid w:val="004E0B7A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techer</cp:lastModifiedBy>
  <cp:revision>13</cp:revision>
  <dcterms:created xsi:type="dcterms:W3CDTF">2020-02-10T06:55:00Z</dcterms:created>
  <dcterms:modified xsi:type="dcterms:W3CDTF">2020-02-15T14:31:00Z</dcterms:modified>
</cp:coreProperties>
</file>