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E5" w:rsidRDefault="000F02C3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</w:t>
      </w:r>
      <w:r w:rsidR="00F2170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综合探究：完善收入分配 实现共同富裕</w:t>
      </w:r>
    </w:p>
    <w:p w:rsidR="008C07E5" w:rsidRPr="004C769E" w:rsidRDefault="004C769E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GoBack"/>
      <w:bookmarkEnd w:id="0"/>
      <w:r w:rsidRPr="004C769E">
        <w:rPr>
          <w:rFonts w:ascii="宋体" w:eastAsia="宋体" w:hAnsi="宋体" w:cs="Times New Roman" w:hint="eastAsia"/>
          <w:b/>
          <w:sz w:val="30"/>
          <w:szCs w:val="30"/>
        </w:rPr>
        <w:t>学习指南</w:t>
      </w:r>
    </w:p>
    <w:p w:rsidR="008C07E5" w:rsidRPr="004C769E" w:rsidRDefault="00FB3306">
      <w:pPr>
        <w:pStyle w:val="a9"/>
        <w:spacing w:line="240" w:lineRule="atLeast"/>
        <w:ind w:firstLineChars="0" w:firstLine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4C769E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一、学习</w:t>
      </w:r>
      <w:r w:rsidR="004C769E" w:rsidRPr="004C769E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目标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理解我国的收入分配制度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区分按劳分配和按生产要素分配，能够把两个概念和具体收入形式对应起来；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能够多角度分析实现共同富裕、促进社会公平正义的收入分配政策；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ascii="宋体" w:hAnsi="宋体" w:hint="eastAsia"/>
          <w:color w:val="000000"/>
          <w:szCs w:val="21"/>
        </w:rPr>
        <w:t>能够从语言和经济模型两个角度解释公平与效率的关系；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ascii="宋体" w:hAnsi="宋体" w:hint="eastAsia"/>
          <w:color w:val="000000"/>
          <w:szCs w:val="21"/>
        </w:rPr>
        <w:t>培养科学精神，树立以人民为中心，尊重劳动、尊重知识、尊重人才的价值取向。</w:t>
      </w:r>
    </w:p>
    <w:p w:rsidR="008C07E5" w:rsidRPr="004C769E" w:rsidRDefault="004C769E" w:rsidP="004C769E">
      <w:pPr>
        <w:pStyle w:val="a9"/>
        <w:spacing w:line="240" w:lineRule="atLeast"/>
        <w:ind w:firstLineChars="0" w:firstLine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4C769E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二、</w:t>
      </w:r>
      <w:r w:rsidR="00FB3306" w:rsidRPr="004C769E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学习方法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1.以“如何从收入分配中品味获得感”为议题，探究实现共同富裕、完善个人收入分配的意义和途径； 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2.可查阅统计部门的资料， 或通过走访政府有关部门的工作人员，了解哪些收入形式属于初次分配，哪些属于再分配；或统计家庭收入中来自初次分配和再分配的情况。 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3.可调研不同类型企业按劳分配和按要素分配的方式，讨论如何促进收入分配更合理、更有序。</w:t>
      </w:r>
    </w:p>
    <w:p w:rsidR="008C07E5" w:rsidRDefault="00FB330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4.可走访当地财政部门、社会保障部门、居民等， 评析政府运用再分配手段保障和改善民生的举措。</w:t>
      </w:r>
    </w:p>
    <w:p w:rsidR="008C07E5" w:rsidRDefault="00FB3306">
      <w:pPr>
        <w:spacing w:line="240" w:lineRule="atLeast"/>
        <w:ind w:firstLineChars="300" w:firstLine="630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color w:val="000000"/>
          <w:szCs w:val="21"/>
        </w:rPr>
        <w:t>尝试对促进社会公平、实现共同富裕、营造良好社会风尚、完善社会保障的政策提出建议。</w:t>
      </w:r>
    </w:p>
    <w:p w:rsidR="008C07E5" w:rsidRDefault="00FB3306">
      <w:pPr>
        <w:pStyle w:val="a9"/>
        <w:spacing w:line="240" w:lineRule="atLeast"/>
        <w:ind w:firstLineChars="0" w:firstLine="0"/>
        <w:jc w:val="left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4C769E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三、</w:t>
      </w:r>
      <w:r w:rsidR="004C769E" w:rsidRPr="004C769E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学习任务</w:t>
      </w:r>
    </w:p>
    <w:p w:rsidR="004C769E" w:rsidRPr="008E017C" w:rsidRDefault="004C769E" w:rsidP="004C769E">
      <w:pPr>
        <w:numPr>
          <w:ilvl w:val="0"/>
          <w:numId w:val="5"/>
        </w:numPr>
        <w:spacing w:line="240" w:lineRule="atLeast"/>
        <w:rPr>
          <w:rFonts w:ascii="宋体" w:hAnsi="宋体"/>
          <w:b/>
          <w:sz w:val="24"/>
          <w:szCs w:val="24"/>
        </w:rPr>
      </w:pPr>
      <w:proofErr w:type="gramStart"/>
      <w:r w:rsidRPr="008E017C">
        <w:rPr>
          <w:rFonts w:ascii="宋体" w:hAnsi="宋体" w:hint="eastAsia"/>
          <w:b/>
          <w:sz w:val="24"/>
          <w:szCs w:val="24"/>
        </w:rPr>
        <w:t>观看微课</w:t>
      </w:r>
      <w:r>
        <w:rPr>
          <w:rFonts w:ascii="宋体" w:hAnsi="宋体" w:hint="eastAsia"/>
          <w:b/>
          <w:sz w:val="24"/>
          <w:szCs w:val="24"/>
        </w:rPr>
        <w:t>视频</w:t>
      </w:r>
      <w:proofErr w:type="gramEnd"/>
      <w:r>
        <w:rPr>
          <w:rFonts w:ascii="宋体" w:hAnsi="宋体" w:hint="eastAsia"/>
          <w:b/>
          <w:sz w:val="24"/>
          <w:szCs w:val="24"/>
        </w:rPr>
        <w:t>——</w:t>
      </w:r>
      <w:r w:rsidR="00F2170B">
        <w:rPr>
          <w:rFonts w:ascii="宋体" w:hAnsi="宋体" w:hint="eastAsia"/>
          <w:b/>
          <w:sz w:val="24"/>
          <w:szCs w:val="24"/>
        </w:rPr>
        <w:t xml:space="preserve">综合探究：完善收入分配 实现共同富裕 </w:t>
      </w:r>
    </w:p>
    <w:p w:rsidR="004C769E" w:rsidRPr="008E017C" w:rsidRDefault="004C769E" w:rsidP="004C769E">
      <w:pPr>
        <w:numPr>
          <w:ilvl w:val="0"/>
          <w:numId w:val="5"/>
        </w:numPr>
        <w:spacing w:line="240" w:lineRule="atLeast"/>
        <w:rPr>
          <w:rFonts w:ascii="宋体" w:hAnsi="宋体"/>
          <w:b/>
          <w:sz w:val="24"/>
          <w:szCs w:val="24"/>
        </w:rPr>
      </w:pPr>
      <w:r w:rsidRPr="008E017C">
        <w:rPr>
          <w:rFonts w:ascii="宋体" w:hAnsi="宋体" w:hint="eastAsia"/>
          <w:b/>
          <w:sz w:val="24"/>
          <w:szCs w:val="24"/>
        </w:rPr>
        <w:t>理解本课难点</w:t>
      </w:r>
    </w:p>
    <w:p w:rsidR="008C07E5" w:rsidRDefault="00FB3306">
      <w:pPr>
        <w:spacing w:line="240" w:lineRule="atLeast"/>
        <w:jc w:val="left"/>
        <w:rPr>
          <w:rFonts w:asciiTheme="majorEastAsia" w:eastAsiaTheme="majorEastAsia" w:hAnsiTheme="majorEastAsia" w:cs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1.区分按劳分配与按生产要素分配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770"/>
        <w:gridCol w:w="6536"/>
      </w:tblGrid>
      <w:tr w:rsidR="008C07E5" w:rsidTr="00A72FCE">
        <w:tc>
          <w:tcPr>
            <w:tcW w:w="1548" w:type="dxa"/>
          </w:tcPr>
          <w:p w:rsidR="008C07E5" w:rsidRDefault="00FB3306">
            <w:pPr>
              <w:spacing w:line="240" w:lineRule="atLeast"/>
              <w:ind w:firstLineChars="200" w:firstLine="42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8306" w:type="dxa"/>
            <w:gridSpan w:val="2"/>
            <w:vAlign w:val="center"/>
          </w:tcPr>
          <w:p w:rsidR="008C07E5" w:rsidRDefault="00FB3306" w:rsidP="00A72FCE">
            <w:pPr>
              <w:spacing w:line="240" w:lineRule="atLeas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对应形式</w:t>
            </w:r>
          </w:p>
        </w:tc>
      </w:tr>
      <w:tr w:rsidR="008C07E5" w:rsidTr="00A72FCE">
        <w:tc>
          <w:tcPr>
            <w:tcW w:w="1548" w:type="dxa"/>
            <w:vAlign w:val="center"/>
          </w:tcPr>
          <w:p w:rsidR="008C07E5" w:rsidRDefault="00FB3306" w:rsidP="00A72FCE">
            <w:pPr>
              <w:spacing w:line="240" w:lineRule="atLeas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按劳分配</w:t>
            </w:r>
          </w:p>
        </w:tc>
        <w:tc>
          <w:tcPr>
            <w:tcW w:w="8306" w:type="dxa"/>
            <w:gridSpan w:val="2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国家机关、事业单位工作人员的工资、奖金、津贴；公有制企业（包括国有企业、国有控股企业、集体企业）职工的工资、奖金、津贴；农村集体经济农民承包土地获得的经营收入</w:t>
            </w:r>
          </w:p>
        </w:tc>
      </w:tr>
      <w:tr w:rsidR="008C07E5" w:rsidTr="00A72FCE">
        <w:tc>
          <w:tcPr>
            <w:tcW w:w="1548" w:type="dxa"/>
            <w:vMerge w:val="restart"/>
            <w:vAlign w:val="center"/>
          </w:tcPr>
          <w:p w:rsidR="008C07E5" w:rsidRDefault="00FB3306" w:rsidP="00A72FCE">
            <w:pPr>
              <w:spacing w:line="240" w:lineRule="atLeas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生产要素按贡献参与分配</w:t>
            </w:r>
          </w:p>
        </w:tc>
        <w:tc>
          <w:tcPr>
            <w:tcW w:w="1770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按资本要素分配</w:t>
            </w:r>
          </w:p>
        </w:tc>
        <w:tc>
          <w:tcPr>
            <w:tcW w:w="6536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储蓄存款利息、股息、或股票转让所得、债券的利息、私营企业主的税后利润</w:t>
            </w:r>
          </w:p>
        </w:tc>
      </w:tr>
      <w:tr w:rsidR="008C07E5">
        <w:tc>
          <w:tcPr>
            <w:tcW w:w="1548" w:type="dxa"/>
            <w:vMerge/>
          </w:tcPr>
          <w:p w:rsidR="008C07E5" w:rsidRDefault="008C07E5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70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按土地要素分配</w:t>
            </w:r>
          </w:p>
        </w:tc>
        <w:tc>
          <w:tcPr>
            <w:tcW w:w="6536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土地、房屋的租金和转让金；农民转让土地承包经营权获得的收入</w:t>
            </w:r>
          </w:p>
        </w:tc>
      </w:tr>
      <w:tr w:rsidR="008C07E5">
        <w:tc>
          <w:tcPr>
            <w:tcW w:w="1548" w:type="dxa"/>
            <w:vMerge/>
          </w:tcPr>
          <w:p w:rsidR="008C07E5" w:rsidRDefault="008C07E5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70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按管理要素分配</w:t>
            </w:r>
          </w:p>
        </w:tc>
        <w:tc>
          <w:tcPr>
            <w:tcW w:w="6536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企业管理人才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凭借管理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才能和在生产经营中的贡献而参与分配的方式</w:t>
            </w:r>
          </w:p>
        </w:tc>
      </w:tr>
      <w:tr w:rsidR="008C07E5">
        <w:tc>
          <w:tcPr>
            <w:tcW w:w="1548" w:type="dxa"/>
            <w:vMerge/>
          </w:tcPr>
          <w:p w:rsidR="008C07E5" w:rsidRDefault="008C07E5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70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按劳动要素分配</w:t>
            </w:r>
          </w:p>
        </w:tc>
        <w:tc>
          <w:tcPr>
            <w:tcW w:w="6536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在私营、外资企业中劳动者获得的工资、奖金、津贴收入</w:t>
            </w:r>
          </w:p>
        </w:tc>
      </w:tr>
      <w:tr w:rsidR="008C07E5">
        <w:trPr>
          <w:trHeight w:val="312"/>
        </w:trPr>
        <w:tc>
          <w:tcPr>
            <w:tcW w:w="1548" w:type="dxa"/>
            <w:vMerge/>
          </w:tcPr>
          <w:p w:rsidR="008C07E5" w:rsidRDefault="008C07E5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70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按技术要素分配</w:t>
            </w:r>
          </w:p>
        </w:tc>
        <w:tc>
          <w:tcPr>
            <w:tcW w:w="6536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技术入股、专利使用、技术转让的收入</w:t>
            </w:r>
          </w:p>
        </w:tc>
      </w:tr>
      <w:tr w:rsidR="008C07E5">
        <w:tc>
          <w:tcPr>
            <w:tcW w:w="1548" w:type="dxa"/>
            <w:vMerge/>
          </w:tcPr>
          <w:p w:rsidR="008C07E5" w:rsidRDefault="008C07E5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70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按数据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要素分配</w:t>
            </w:r>
          </w:p>
        </w:tc>
        <w:tc>
          <w:tcPr>
            <w:tcW w:w="6536" w:type="dxa"/>
          </w:tcPr>
          <w:p w:rsidR="008C07E5" w:rsidRDefault="00FB3306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依靠各种有价值的数据资源获得的收入</w:t>
            </w:r>
          </w:p>
        </w:tc>
      </w:tr>
    </w:tbl>
    <w:p w:rsidR="008C07E5" w:rsidRDefault="00FB3306">
      <w:pPr>
        <w:pStyle w:val="a9"/>
        <w:spacing w:line="240" w:lineRule="atLeast"/>
        <w:ind w:firstLineChars="0" w:firstLine="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2.居民收入的种类 </w:t>
      </w:r>
    </w:p>
    <w:p w:rsidR="008C07E5" w:rsidRDefault="00FB3306">
      <w:pPr>
        <w:pStyle w:val="a9"/>
        <w:spacing w:line="240" w:lineRule="atLeast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（1）财产性收入 </w:t>
      </w:r>
    </w:p>
    <w:p w:rsidR="008C07E5" w:rsidRDefault="00FB3306">
      <w:pPr>
        <w:pStyle w:val="a9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财产性收入是指家庭拥有的动产（如银行存款、有价证券等）、不动产（如房屋车辆、土地、收藏品等） 所获得的收入。 它包括出让财产使用权所获得的利息、租金、专利收入等；财产营运所获得的红利收入、财产增值收益等。 财产性收入属于按生产要素分配的范畴，属于非劳动收入。 </w:t>
      </w:r>
    </w:p>
    <w:p w:rsidR="008C07E5" w:rsidRDefault="00FB3306">
      <w:pPr>
        <w:pStyle w:val="a9"/>
        <w:spacing w:line="240" w:lineRule="atLeast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（2）转移性收入 </w:t>
      </w:r>
    </w:p>
    <w:p w:rsidR="008C07E5" w:rsidRDefault="00FB3306">
      <w:pPr>
        <w:pStyle w:val="a9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转移性收入就是指国家、单位、社会团体对居民家庭的各种转移支付和居民家庭间的收入转移。它包括政府对个人收入转移的离退休金、失业救济金、赔偿等；单位对个人收入转移的辞退 金、保险索赔、住房公积金、家庭成员间的赠送和赡养等。 </w:t>
      </w:r>
    </w:p>
    <w:p w:rsidR="008C07E5" w:rsidRDefault="00FB3306">
      <w:pPr>
        <w:pStyle w:val="a9"/>
        <w:numPr>
          <w:ilvl w:val="0"/>
          <w:numId w:val="2"/>
        </w:numPr>
        <w:spacing w:line="240" w:lineRule="atLeast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经营性收入 </w:t>
      </w:r>
    </w:p>
    <w:p w:rsidR="008C07E5" w:rsidRDefault="00FB3306">
      <w:pPr>
        <w:pStyle w:val="a9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经营性收入是指纳税人通过经常性的生产经营活动而取得的收益，即企业在销售货物、提供劳务以及让渡资产使用权等日常活动中所产生的收入。 </w:t>
      </w:r>
    </w:p>
    <w:p w:rsidR="008C07E5" w:rsidRDefault="00F042FE">
      <w:pPr>
        <w:pStyle w:val="a9"/>
        <w:numPr>
          <w:ilvl w:val="0"/>
          <w:numId w:val="2"/>
        </w:numPr>
        <w:spacing w:line="240" w:lineRule="atLeast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劳动</w:t>
      </w:r>
      <w:r w:rsidR="00FB3306">
        <w:rPr>
          <w:rFonts w:ascii="宋体" w:hAnsi="宋体" w:hint="eastAsia"/>
          <w:color w:val="000000"/>
          <w:szCs w:val="21"/>
        </w:rPr>
        <w:t xml:space="preserve">性收入 </w:t>
      </w:r>
    </w:p>
    <w:p w:rsidR="008C07E5" w:rsidRDefault="00F042FE">
      <w:pPr>
        <w:pStyle w:val="a9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劳动</w:t>
      </w:r>
      <w:r w:rsidR="00FB3306">
        <w:rPr>
          <w:rFonts w:ascii="宋体" w:hAnsi="宋体" w:hint="eastAsia"/>
          <w:color w:val="000000"/>
          <w:szCs w:val="21"/>
        </w:rPr>
        <w:t>性收入是指用人单位依据国家有关规定或劳动合同的约定，以货币形式直接支付给本单位劳动者的劳动报酬，一般包括计时工资、计件工资、奖金、津贴和补贴、延长工作时间的工资报酬以及特殊情况下支付的工资等。</w:t>
      </w:r>
    </w:p>
    <w:p w:rsidR="004C769E" w:rsidRPr="008E017C" w:rsidRDefault="004C769E" w:rsidP="004C769E">
      <w:pPr>
        <w:pStyle w:val="a9"/>
        <w:spacing w:line="240" w:lineRule="atLeast"/>
        <w:ind w:firstLine="482"/>
        <w:jc w:val="left"/>
        <w:rPr>
          <w:rFonts w:ascii="宋体" w:hAnsi="宋体" w:cs="宋体"/>
          <w:kern w:val="0"/>
          <w:szCs w:val="21"/>
        </w:rPr>
      </w:pPr>
      <w:r w:rsidRPr="008E017C">
        <w:rPr>
          <w:rFonts w:ascii="宋体" w:hAnsi="宋体" w:hint="eastAsia"/>
          <w:b/>
          <w:sz w:val="24"/>
          <w:szCs w:val="24"/>
        </w:rPr>
        <w:t>（三）完成课后</w:t>
      </w:r>
      <w:r w:rsidR="00F2170B">
        <w:rPr>
          <w:rFonts w:ascii="宋体" w:hAnsi="宋体" w:hint="eastAsia"/>
          <w:b/>
          <w:sz w:val="24"/>
          <w:szCs w:val="24"/>
        </w:rPr>
        <w:t>巩固</w:t>
      </w:r>
    </w:p>
    <w:p w:rsidR="004C769E" w:rsidRPr="004C769E" w:rsidRDefault="004C769E">
      <w:pPr>
        <w:pStyle w:val="a9"/>
        <w:spacing w:line="240" w:lineRule="atLeast"/>
        <w:jc w:val="left"/>
        <w:rPr>
          <w:rFonts w:ascii="宋体" w:hAnsi="宋体"/>
          <w:color w:val="000000"/>
          <w:szCs w:val="21"/>
        </w:rPr>
      </w:pPr>
    </w:p>
    <w:sectPr w:rsidR="004C769E" w:rsidRPr="004C769E" w:rsidSect="008C07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5B" w:rsidRDefault="000A3B5B" w:rsidP="008C07E5">
      <w:r>
        <w:separator/>
      </w:r>
    </w:p>
  </w:endnote>
  <w:endnote w:type="continuationSeparator" w:id="0">
    <w:p w:rsidR="000A3B5B" w:rsidRDefault="000A3B5B" w:rsidP="008C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5361"/>
    </w:sdtPr>
    <w:sdtContent>
      <w:p w:rsidR="008C07E5" w:rsidRDefault="009D3083">
        <w:pPr>
          <w:pStyle w:val="a4"/>
          <w:jc w:val="center"/>
        </w:pPr>
        <w:r w:rsidRPr="009D3083">
          <w:fldChar w:fldCharType="begin"/>
        </w:r>
        <w:r w:rsidR="00FB3306">
          <w:instrText xml:space="preserve"> PAGE   \* MERGEFORMAT </w:instrText>
        </w:r>
        <w:r w:rsidRPr="009D3083">
          <w:fldChar w:fldCharType="separate"/>
        </w:r>
        <w:r w:rsidR="00150090" w:rsidRPr="0015009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C07E5" w:rsidRDefault="008C07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5B" w:rsidRDefault="000A3B5B" w:rsidP="008C07E5">
      <w:r>
        <w:separator/>
      </w:r>
    </w:p>
  </w:footnote>
  <w:footnote w:type="continuationSeparator" w:id="0">
    <w:p w:rsidR="000A3B5B" w:rsidRDefault="000A3B5B" w:rsidP="008C0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E9E12"/>
    <w:multiLevelType w:val="singleLevel"/>
    <w:tmpl w:val="85AE9E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DE79D5"/>
    <w:multiLevelType w:val="singleLevel"/>
    <w:tmpl w:val="9EDE79D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2A5D0D"/>
    <w:multiLevelType w:val="singleLevel"/>
    <w:tmpl w:val="2B2A5D0D"/>
    <w:lvl w:ilvl="0">
      <w:start w:val="2"/>
      <w:numFmt w:val="decimal"/>
      <w:suff w:val="nothing"/>
      <w:lvlText w:val="（%1）"/>
      <w:lvlJc w:val="left"/>
    </w:lvl>
  </w:abstractNum>
  <w:abstractNum w:abstractNumId="3">
    <w:nsid w:val="3CD45DBB"/>
    <w:multiLevelType w:val="hybridMultilevel"/>
    <w:tmpl w:val="2CCE3C26"/>
    <w:lvl w:ilvl="0" w:tplc="34B699F0">
      <w:start w:val="1"/>
      <w:numFmt w:val="japaneseCounting"/>
      <w:lvlText w:val="（%1）"/>
      <w:lvlJc w:val="left"/>
      <w:pPr>
        <w:ind w:left="1176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6ACD7FBB"/>
    <w:multiLevelType w:val="singleLevel"/>
    <w:tmpl w:val="6ACD7F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42C3"/>
    <w:rsid w:val="00001A13"/>
    <w:rsid w:val="00021162"/>
    <w:rsid w:val="00045962"/>
    <w:rsid w:val="00050488"/>
    <w:rsid w:val="000526E1"/>
    <w:rsid w:val="000A2C8F"/>
    <w:rsid w:val="000A3B5B"/>
    <w:rsid w:val="000A4126"/>
    <w:rsid w:val="000C2C51"/>
    <w:rsid w:val="000C40E3"/>
    <w:rsid w:val="000C64D1"/>
    <w:rsid w:val="000D05DD"/>
    <w:rsid w:val="000D37A2"/>
    <w:rsid w:val="000E5BBB"/>
    <w:rsid w:val="000E6CB6"/>
    <w:rsid w:val="000F02C3"/>
    <w:rsid w:val="000F4D61"/>
    <w:rsid w:val="001204C5"/>
    <w:rsid w:val="00121615"/>
    <w:rsid w:val="00133091"/>
    <w:rsid w:val="0014115F"/>
    <w:rsid w:val="00141938"/>
    <w:rsid w:val="00144C8B"/>
    <w:rsid w:val="00150090"/>
    <w:rsid w:val="0015243A"/>
    <w:rsid w:val="00173415"/>
    <w:rsid w:val="001D1F8B"/>
    <w:rsid w:val="001E7111"/>
    <w:rsid w:val="001F3783"/>
    <w:rsid w:val="0020174A"/>
    <w:rsid w:val="002243FB"/>
    <w:rsid w:val="002537A1"/>
    <w:rsid w:val="00260E3A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2E65"/>
    <w:rsid w:val="003E5106"/>
    <w:rsid w:val="003F1A78"/>
    <w:rsid w:val="00403833"/>
    <w:rsid w:val="00423683"/>
    <w:rsid w:val="00450296"/>
    <w:rsid w:val="00494BF9"/>
    <w:rsid w:val="004A1E9F"/>
    <w:rsid w:val="004A691D"/>
    <w:rsid w:val="004C5CBD"/>
    <w:rsid w:val="004C769E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A7E7E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C07E5"/>
    <w:rsid w:val="008E49B2"/>
    <w:rsid w:val="008F4D58"/>
    <w:rsid w:val="009234A0"/>
    <w:rsid w:val="00934335"/>
    <w:rsid w:val="00964EB0"/>
    <w:rsid w:val="00970567"/>
    <w:rsid w:val="00981803"/>
    <w:rsid w:val="009D3083"/>
    <w:rsid w:val="009E67C6"/>
    <w:rsid w:val="009F270E"/>
    <w:rsid w:val="00A01C6C"/>
    <w:rsid w:val="00A0565B"/>
    <w:rsid w:val="00A05B90"/>
    <w:rsid w:val="00A1240B"/>
    <w:rsid w:val="00A325FC"/>
    <w:rsid w:val="00A33F1E"/>
    <w:rsid w:val="00A568E9"/>
    <w:rsid w:val="00A6720B"/>
    <w:rsid w:val="00A72FCE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CB1304"/>
    <w:rsid w:val="00CC31CE"/>
    <w:rsid w:val="00CE2616"/>
    <w:rsid w:val="00CE4288"/>
    <w:rsid w:val="00CF3325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2688E"/>
    <w:rsid w:val="00E312A6"/>
    <w:rsid w:val="00EB2207"/>
    <w:rsid w:val="00EC30EB"/>
    <w:rsid w:val="00EC4CB6"/>
    <w:rsid w:val="00ED6653"/>
    <w:rsid w:val="00F042FE"/>
    <w:rsid w:val="00F058CD"/>
    <w:rsid w:val="00F124E6"/>
    <w:rsid w:val="00F14E94"/>
    <w:rsid w:val="00F2170B"/>
    <w:rsid w:val="00F63CAF"/>
    <w:rsid w:val="00F66E46"/>
    <w:rsid w:val="00F96389"/>
    <w:rsid w:val="00FB3306"/>
    <w:rsid w:val="00FC25E2"/>
    <w:rsid w:val="083D445E"/>
    <w:rsid w:val="097E1112"/>
    <w:rsid w:val="0ABE2262"/>
    <w:rsid w:val="0B995F61"/>
    <w:rsid w:val="0FEA4B80"/>
    <w:rsid w:val="103B40A6"/>
    <w:rsid w:val="10BD4421"/>
    <w:rsid w:val="11A75F1A"/>
    <w:rsid w:val="13B43567"/>
    <w:rsid w:val="14FD7217"/>
    <w:rsid w:val="16161F58"/>
    <w:rsid w:val="1ADE1209"/>
    <w:rsid w:val="2507337D"/>
    <w:rsid w:val="2678474E"/>
    <w:rsid w:val="26EE6563"/>
    <w:rsid w:val="2A241886"/>
    <w:rsid w:val="2D115913"/>
    <w:rsid w:val="2DE6625C"/>
    <w:rsid w:val="2EC713B8"/>
    <w:rsid w:val="302479FE"/>
    <w:rsid w:val="318C00B3"/>
    <w:rsid w:val="34005326"/>
    <w:rsid w:val="37D02973"/>
    <w:rsid w:val="46CE67B4"/>
    <w:rsid w:val="48811065"/>
    <w:rsid w:val="494A107F"/>
    <w:rsid w:val="4BC07061"/>
    <w:rsid w:val="4D7D0566"/>
    <w:rsid w:val="4F3866B8"/>
    <w:rsid w:val="5039748B"/>
    <w:rsid w:val="506016FE"/>
    <w:rsid w:val="53EC5BF8"/>
    <w:rsid w:val="5B2C4E96"/>
    <w:rsid w:val="5C231EF9"/>
    <w:rsid w:val="62962D1B"/>
    <w:rsid w:val="629630E1"/>
    <w:rsid w:val="62A15BE3"/>
    <w:rsid w:val="67F53D79"/>
    <w:rsid w:val="6C875813"/>
    <w:rsid w:val="6EDB54F6"/>
    <w:rsid w:val="717F6592"/>
    <w:rsid w:val="73A44CE6"/>
    <w:rsid w:val="77A00379"/>
    <w:rsid w:val="77D51EDE"/>
    <w:rsid w:val="7B4C5F39"/>
    <w:rsid w:val="7BF220AF"/>
    <w:rsid w:val="7EB8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C0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C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C0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C07E5"/>
    <w:rPr>
      <w:b/>
    </w:rPr>
  </w:style>
  <w:style w:type="character" w:customStyle="1" w:styleId="Char1">
    <w:name w:val="页眉 Char"/>
    <w:basedOn w:val="a0"/>
    <w:link w:val="a5"/>
    <w:uiPriority w:val="99"/>
    <w:qFormat/>
    <w:rsid w:val="008C07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07E5"/>
    <w:rPr>
      <w:sz w:val="18"/>
      <w:szCs w:val="18"/>
    </w:rPr>
  </w:style>
  <w:style w:type="paragraph" w:styleId="a9">
    <w:name w:val="List Paragraph"/>
    <w:basedOn w:val="a"/>
    <w:uiPriority w:val="34"/>
    <w:qFormat/>
    <w:rsid w:val="008C07E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C0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admin</cp:lastModifiedBy>
  <cp:revision>29</cp:revision>
  <dcterms:created xsi:type="dcterms:W3CDTF">2020-01-31T07:50:00Z</dcterms:created>
  <dcterms:modified xsi:type="dcterms:W3CDTF">2020-03-13T15:57:00Z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