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八年级语文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《读白居易，悟诗与情》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拓展体验资源</w:t>
      </w:r>
    </w:p>
    <w:p>
      <w:pPr>
        <w:spacing w:line="400" w:lineRule="exact"/>
        <w:jc w:val="left"/>
        <w:rPr>
          <w:rFonts w:hint="default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一、</w:t>
      </w:r>
      <w:r>
        <w:rPr>
          <w:rFonts w:hint="eastAsia" w:ascii="宋体" w:hAnsi="宋体"/>
          <w:b w:val="0"/>
          <w:bCs/>
          <w:sz w:val="21"/>
          <w:szCs w:val="21"/>
        </w:rPr>
        <w:t>白居易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“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闲适诗</w:t>
      </w:r>
      <w:bookmarkStart w:id="0" w:name="_GoBack"/>
      <w:bookmarkEnd w:id="0"/>
      <w:r>
        <w:rPr>
          <w:rFonts w:hint="eastAsia" w:ascii="宋体" w:hAnsi="宋体"/>
          <w:b w:val="0"/>
          <w:bCs/>
          <w:sz w:val="21"/>
          <w:szCs w:val="21"/>
          <w:lang w:eastAsia="zh-CN"/>
        </w:rPr>
        <w:t>”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推荐阅读。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常乐里闲居偶题十六韵兼寄刘十五公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帝都名利场，鸡鸣无安居。独有懒慢者，日高头未梳。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工拙性不同，进退迹遂殊。幸逢太平代，天子好文儒。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小才难大用，典校在秘书。三旬两入省，因得养顽疏。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茅屋四五间，一马二仆夫。俸钱万六千，月给亦有余。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既无衣食牵，亦少人事拘。遂使少年心，日日常晏如。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勿言无知己，躁静各有徒。兰台七八人，出处与之俱。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旬时阻谈笑，旦夕望轩车。谁能雠校间，解带卧吾庐。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窗前有竹玩，门外有酒沽。何以待君子，数竿对一壶。</w:t>
      </w:r>
    </w:p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官舍小亭闲望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风竹散清韵，烟槐凝绿姿。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日高人吏去，闲坐在茅茨。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葛衣御时暑，蔬饭疗朝饥。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持此聊自足，心力少营为。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亭上独吟罢，眼前无事时。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数峰太白雪，一卷陶潜诗。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人心各自是，我是良在兹。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回谢争名客，甘从君所嗤。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尝黄醅新酎忆微之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世间好物黄醅酒，天下闲人白侍郎。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爱向卯时谋洽乐，亦曾酉日放粗狂。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醉来枕麴贫如富，身后堆金有若亡。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元九计程殊未到，瓮头一盏共谁尝。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jc w:val="center"/>
        <w:rPr>
          <w:rFonts w:hint="eastAsia" w:ascii="楷体" w:hAnsi="楷体" w:eastAsia="楷体" w:cs="楷体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白居易讽喻诗推荐阅读。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纳粟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有吏夜叩门，高声催纳粟。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家人不待晓，场上张灯烛。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扬簸净如珠，一车三十斛。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犹忧纳不中，鞭责及僮仆。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昔余谬从事，内媿才不足。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连授四命官，坐尸十年禄。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常闻古人语，损益周必复。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今日谅甘心，还他太仓谷。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观刈麦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田家少闲月，五月人倍忙。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夜来南风起，小麦覆陇黄。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妇姑荷箪食，童稚携壶浆，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相随饷田去，丁壮在南冈。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足蒸暑土气，背灼炎天光，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力尽不知热，但惜夏日长。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复有贫妇人，抱子在其旁，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右手秉遗穗，左臂悬敝筐。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听其相顾言，闻者为悲伤。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家田输税尽，拾此充饥肠。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今我何功德，曾不事农桑。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吏禄三百石，岁晏有余粮。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念此私自愧，尽日不能忘。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轻肥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意气骄满路，鞍马光照尘。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借问何为者，人称是内臣。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朱绂皆大夫，紫绶悉将军。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夸赴军中宴，走马去如云。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樽罍溢九酝，水陆罗八珍。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果擘洞庭橘，脍切天池鳞。</w:t>
      </w:r>
    </w:p>
    <w:p>
      <w:pPr>
        <w:numPr>
          <w:numId w:val="0"/>
        </w:numPr>
        <w:jc w:val="center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食饱心自若，酒酣气益振。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  <w:lang w:val="en-US" w:eastAsia="zh-CN"/>
        </w:rPr>
        <w:t>是岁江南旱，衢州人食人</w:t>
      </w:r>
      <w:r>
        <w:rPr>
          <w:rFonts w:hint="eastAsia" w:ascii="楷体" w:hAnsi="楷体" w:eastAsia="楷体" w:cs="楷体"/>
          <w:lang w:val="en-US" w:eastAsia="zh-CN"/>
        </w:rPr>
        <w:t>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上阳白发人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上阳人，上阳人，红颜暗老白发新。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绿衣监使守宫门，一闭上阳多少。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玄宗末岁初选入，入时十六今六十。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同时采择百余人，零落年深残此身。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忆昔吞悲别亲族，扶入车中不教哭。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皆云入内便承恩，脸似芙蓉胸似玉。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未容君王得见面，已被杨妃遥侧目。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妒令潜配上阳宫，一生遂向空房宿。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宿空房，秋夜长，夜长无寐天不明。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耿耿残灯背壁影，萧萧暗雨打窗声。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春日迟，日迟独坐天难暮。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宫莺百啭愁厌闻，梁燕双栖老休妒。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莺归燕去长悄然，春往秋来不记年。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唯向深宫望明月，东西四五百回圆。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今日宫中年最老，大家遥赐尚书号。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小头鞵履窄衣裳，青黛点眉眉细长。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外人不见见应笑，天宝末年时世妆。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上阳人，苦最多。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少亦苦，老亦苦，少苦老苦两如何！</w:t>
      </w:r>
    </w:p>
    <w:p>
      <w:pPr>
        <w:numPr>
          <w:numId w:val="0"/>
        </w:num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君不见昔时吕向美人赋，又不见今日上阳白发歌！ </w:t>
      </w:r>
    </w:p>
    <w:p>
      <w:pPr>
        <w:numPr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《浅说白居易讽喻诗》节选第三部分《白居易讽喻诗的艺术特色》王全民</w:t>
      </w:r>
    </w:p>
    <w:p>
      <w:pPr>
        <w:numPr>
          <w:numId w:val="0"/>
        </w:numPr>
        <w:ind w:firstLine="420" w:firstLineChars="200"/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白居易的讽喻诗极善于运用简练的外貌描写，细致的心理刻画，人物的语言行动以及写景、议论等多种手段，塑造各种人物的形象。如《卖炭翁》中的卖炭翁，《观刈麦》中的贫妇人，《上阳白发人》中的老宫女，《新丰折臂翁》中的老翁，《轻肥》中的宦官等，通过这一系列形象生动的正反面人物形象来表达作者的思想，增加了诗歌的形象性。如《卖炭翁》中，对卖炭翁的形象、心理作了细致真实的描写、刻划，连细节都十分精致，“可怜身上衣正单，心忧炭贱愿天寒”，就是著名的心理描写的警句。在对卖炭翁矛盾心理的揭示中，突出了一车炭对他的重要性，从而深化了“苦宫市”的主题，笔端饱注对这位贫苦农民的同情，倾向性很鲜明，却避免了议论化。这一点在《上阳白发人》中表现得更突出，诗对她孤独寂寞的生活环境和凄凉的心境的描写，抒情味很浓，诗中透露的悲剧气氛很感人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对比手法的成功运用，也是讽喻诗的重要特色。白居易在他的讽喻诗中往往先尽情描摹达官贵人们的糜烂生活，而在诗的末尾忽然出人意料地突起一个对立面，比如《轻肥》和《歌舞》：在描绘那些宦官“樽罍溢九酝，水陆罗八珍。果擘洞庭橘，鱠切天池鳞”之后，突起“是岁江南旱，衢州人食人！”在“朱轮车马客，红烛歌舞楼。欢酣促密坐，醉暖脱重裘”之后，突然一句“岂知阌乡狱，中有冻死囚！”，随后戛然而止。再如《观刈麦》、《村居苦寒》中作者和农民的对比，《买花》中富人与田舍翁的对比等，鲜明的对比，凸显了社会的极端不公，凸显了矛盾的极端尖锐。使读者从鲜明的对比中，看到贫富的悬殊，阶级的对立，从而更深刻地表现了诗人对剥削者的痛恨和对劳动人民的同情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直接发议论，也是讽喻诗的特色之一。发议论，是白居易所谓“卒章显其志”的一种手段。但凡结合了议论的，多数议论都很形象，富有情感，不是干巴巴的说教。比如《红线毯》在具体生动的描绘之后，作者仿佛是指着宣州太守的鼻子大声斥责：“宣城太守知不知？一丈毯，千两丝！地不知寒人要暖，少夺人衣作地衣。”《新丰折臂翁》讽喻戒边功，是用生动的历史教训来形象地议论：“老人言，君听取：君不闻开元宰相宋开府，不赏边功防黩武？又不闻天宝宰相杨国忠，欲求恩幸立边功？边功未立生人怨，请问新丰折臂翁。”用历史事实的对比，形象鲜明地表达了作者的主张和态度。象《买花》、《重赋》、《轻肥》、《杜陵叟》等诗，都是先有具体的叙事，生动的描写，接着是画龙点睛的议论，对事情作评说深化主题。</w:t>
      </w:r>
    </w:p>
    <w:p>
      <w:pPr>
        <w:numPr>
          <w:numId w:val="0"/>
        </w:numPr>
        <w:ind w:firstLine="420" w:firstLineChars="200"/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质朴自然，通俗平易是讽喻诗语言的主要特色。白诗的语言以通俗平易为基本风格，往往以平易流畅的语言娓娓陈述，唱叹有情，扣人心弦，间有议论，发人深省，语言的通俗和尖锐的讽刺相联系，真正做到“其辞质而径”，“其言直而切”。他的讽喻诗的语言接近于人民的口语，随口而出，如话家常，然而语虽平易，意却警策，所以袁枚在《续诗品》中说白诗“意深词浅，思苦言甘”，赵翼在《瓯北诗话》中说：”元、白尚坦易，务言人所共欲言……眼前景，口头语，自能沁人心脾，耐人咀嚼。”刘熙载在《艺概》中说白诗语言是“用常得奇”，这些品评都较为中肯。</w:t>
      </w:r>
    </w:p>
    <w:p>
      <w:pPr>
        <w:numPr>
          <w:numId w:val="0"/>
        </w:numPr>
        <w:jc w:val="both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从艺术的角度分析，由于白居易救治现实的功利色彩太浓，所以相应地带来了一些负面的东西。一些写时事的作品，不是来自于作者自己亲身的感受，而是以理念组织而成，说教意味偏浓。在语言运用上，或是太过激切，或是过分通俗、浅显，结果有失诗歌语言的蕴藉、含蓄、精炼之美。但偏不概全，瑕不掩瑜。白居易的讽喻诗对新乐府运动起着指导和示范作用，确立了它在中国诗歌中的不朽地位。新乐府运动从理论和实践两个方面继承了我国诗歌的现实主义传统，在唐朝现实主义诗歌发展中起着承上启下的重要作用，对后世诗歌发展有着广泛而深远的影响。</w:t>
      </w:r>
    </w:p>
    <w:p>
      <w:pPr>
        <w:numPr>
          <w:numId w:val="0"/>
        </w:numPr>
        <w:jc w:val="both"/>
        <w:rPr>
          <w:rFonts w:hint="default" w:ascii="楷体" w:hAnsi="楷体" w:eastAsia="楷体" w:cs="楷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四、苏轼《饮湖上初晴后雨》鉴赏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是一首赞美西湖美景的诗。此诗不是描写西湖的一处之景、一时之景，而是对西湖美景的全面描写概括品评，尤其是后二句，被认为是对西湖的恰当评语。作者畅游西湖，从早到晚，一边欣赏美丽的湖光山色，一边饮酒构思，意笃八极，神游万仞。于是乎写就了这首传诵一时的佳作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诗的前两句既写了西湖的水光山色，也写了西湖的晴雨时的不同景色。“水光潋滟晴方好”描写西湖晴天的水光：在灿烂的阳光照耀下，西湖水波荡漾，波光闪闪，十分美丽。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“山色空濛雨亦奇”描写雨天的山色：在雨幕笼罩下，西湖周围的群山，迷迷茫茫，若有若无，非常奇妙。从第一首诗可知，这一天诗人陪着客人在西湖游宴终日，早晨阳光明艳，后来转阴，入暮后下起雨来。而在善于领略自然并对西湖有深厚感情的诗人眼中，无论是水是山，或晴或雨，都是美好奇妙的。从“晴方好”“雨亦奇”这一赞评，可以想见在不同天气下的湖山胜景，也可想见诗人即景挥毫时的兴会及其洒脱的性格、开阔的胸怀。上半首写的景是交换、对应之景，情是广泛、豪宕之情，情景交融，句间情景相对，西湖之美概写无余，诗人苏轼之情表现无遗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　　诗的后两句进一步运用他的写气图貌之笔来描绘湖山的晴光雨色，而是遗貌取神，只用一个既空灵又贴切的妙喻就传出了湖山的神韵。苏轼用了比喻的修辞手法，把西湖之美与西施之美相比，当然无可非议。但，我们知道，历史上还有不少女子，其美与西施相比，恐怕也差不了多少。可苏轼为什么偏偏要选西施来比西湖呢？我想是不是有两个原因：一是西施的家乡在浙江，而且离西湖不远；二是西施和西湖，都有个“西”字，这真是个天作之合。至于称西施为西子，恐怕不仅是为了尊重，还与平仄有关系(第三句最后一个字要求仄声字，而“施”是平声字)。现在，西湖也叫西子湖，就是源于苏轼这首诗。对这个比喻，存在有两种相反的解说：一说认为诗人“是以晴天的西湖比淡妆的西子，以雨天的西湖比浓妆的西子”；一说认为诗人是“以晴天比浓妆，雨天比淡妆”。两说都各有所见，各有所据。但就才情横溢的诗人而言，这是妙手偶得的取神之喻，诗思偶到的神来之笔，只是一时心与景会，从西湖的美景联想到作为美的化身的西子，从西湖的“晴方好”“雨亦奇”，想象西子应也是“淡妆浓抹总相宜”，当其设喻之际、下笔之时，恐怕未必拘泥于晴与雨二者，何者指浓妆，何者指淡妆。欣赏这首诗时，如果一定要使浓妆、淡妆分属晴、雨，可能反而有损于比喻的完整性、诗思的空灵美。</w:t>
      </w:r>
    </w:p>
    <w:p>
      <w:pPr>
        <w:rPr>
          <w:rFonts w:hint="eastAsia" w:ascii="楷体" w:hAnsi="楷体" w:eastAsia="楷体" w:cs="楷体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01735"/>
    <w:multiLevelType w:val="singleLevel"/>
    <w:tmpl w:val="840017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0F0"/>
    <w:rsid w:val="000014A9"/>
    <w:rsid w:val="000531E4"/>
    <w:rsid w:val="000E7F64"/>
    <w:rsid w:val="00162DBD"/>
    <w:rsid w:val="0018473F"/>
    <w:rsid w:val="001D5817"/>
    <w:rsid w:val="00256AA0"/>
    <w:rsid w:val="00391034"/>
    <w:rsid w:val="004C0990"/>
    <w:rsid w:val="004F4BF1"/>
    <w:rsid w:val="005B7F27"/>
    <w:rsid w:val="008C7A35"/>
    <w:rsid w:val="009600F0"/>
    <w:rsid w:val="009952FA"/>
    <w:rsid w:val="009D144B"/>
    <w:rsid w:val="009D4D71"/>
    <w:rsid w:val="00B43307"/>
    <w:rsid w:val="00B90CA2"/>
    <w:rsid w:val="00BA356C"/>
    <w:rsid w:val="00C04DBA"/>
    <w:rsid w:val="00C7559B"/>
    <w:rsid w:val="00D06C36"/>
    <w:rsid w:val="00D218B2"/>
    <w:rsid w:val="00DF3E7B"/>
    <w:rsid w:val="00E83B8C"/>
    <w:rsid w:val="00E939E0"/>
    <w:rsid w:val="00EA1C7A"/>
    <w:rsid w:val="00EE6F79"/>
    <w:rsid w:val="20E05AC9"/>
    <w:rsid w:val="29F63799"/>
    <w:rsid w:val="2F6D261A"/>
    <w:rsid w:val="2FE70E24"/>
    <w:rsid w:val="3EF05283"/>
    <w:rsid w:val="5B677A4A"/>
    <w:rsid w:val="708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7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endnote text"/>
    <w:basedOn w:val="1"/>
    <w:unhideWhenUsed/>
    <w:qFormat/>
    <w:uiPriority w:val="99"/>
    <w:pPr>
      <w:snapToGrid w:val="0"/>
      <w:jc w:val="left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5">
    <w:name w:val="页眉 字符"/>
    <w:basedOn w:val="10"/>
    <w:link w:val="8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0"/>
    <w:link w:val="5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951</Words>
  <Characters>5425</Characters>
  <Lines>45</Lines>
  <Paragraphs>12</Paragraphs>
  <TotalTime>38</TotalTime>
  <ScaleCrop>false</ScaleCrop>
  <LinksUpToDate>false</LinksUpToDate>
  <CharactersWithSpaces>6364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2020-02-05T14:11:00Z</dcterms:created>
  <dc:creator>dell</dc:creator>
  <cp:lastModifiedBy>纪文杰</cp:lastModifiedBy>
  <dcterms:modified xsi:type="dcterms:W3CDTF">2020-03-11T07:19:54Z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