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3" w:rsidRDefault="00360D67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2</w:t>
      </w:r>
      <w:r>
        <w:rPr>
          <w:rFonts w:ascii="黑体" w:eastAsia="黑体" w:hAnsi="黑体" w:cs="黑体"/>
          <w:b/>
          <w:sz w:val="28"/>
          <w:szCs w:val="28"/>
        </w:rPr>
        <w:t>0</w:t>
      </w:r>
      <w:r>
        <w:rPr>
          <w:rFonts w:ascii="黑体" w:eastAsia="黑体" w:hAnsi="黑体" w:cs="黑体"/>
          <w:b/>
          <w:sz w:val="28"/>
          <w:szCs w:val="28"/>
        </w:rPr>
        <w:t>课时《</w:t>
      </w:r>
      <w:r>
        <w:rPr>
          <w:rFonts w:ascii="黑体" w:eastAsia="黑体" w:hAnsi="黑体" w:cs="黑体" w:hint="eastAsia"/>
          <w:b/>
          <w:sz w:val="28"/>
          <w:szCs w:val="28"/>
        </w:rPr>
        <w:t>非连文本的逻辑关系</w:t>
      </w:r>
      <w:r>
        <w:rPr>
          <w:rFonts w:ascii="黑体" w:eastAsia="黑体" w:hAnsi="黑体" w:cs="黑体"/>
          <w:b/>
          <w:sz w:val="28"/>
          <w:szCs w:val="28"/>
        </w:rPr>
        <w:t>》课时作业</w:t>
      </w:r>
    </w:p>
    <w:p w:rsidR="00495293" w:rsidRDefault="00360D67">
      <w:pPr>
        <w:rPr>
          <w:rFonts w:ascii="宋体" w:hAnsi="宋体"/>
        </w:rPr>
      </w:pPr>
      <w:r>
        <w:rPr>
          <w:rFonts w:ascii="宋体" w:hAnsi="宋体" w:hint="eastAsia"/>
        </w:rPr>
        <w:t>一、阅读下面材料，完成试题。</w:t>
      </w:r>
    </w:p>
    <w:p w:rsidR="00495293" w:rsidRDefault="00360D67">
      <w:pPr>
        <w:spacing w:line="288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【材料</w:t>
      </w:r>
      <w:r w:rsidR="004116C4">
        <w:rPr>
          <w:rFonts w:ascii="宋体" w:hAnsi="宋体" w:cs="宋体" w:hint="eastAsia"/>
        </w:rPr>
        <w:t>一</w:t>
      </w:r>
      <w:r>
        <w:rPr>
          <w:rFonts w:ascii="宋体" w:hAnsi="宋体" w:cs="宋体" w:hint="eastAsia"/>
        </w:rPr>
        <w:t>】</w:t>
      </w:r>
    </w:p>
    <w:p w:rsidR="00495293" w:rsidRDefault="00360D67">
      <w:pPr>
        <w:spacing w:line="288" w:lineRule="auto"/>
        <w:ind w:leftChars="50" w:left="105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中国国家博物馆</w:t>
      </w:r>
      <w:r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/>
          <w:szCs w:val="21"/>
        </w:rPr>
        <w:t>简称</w:t>
      </w:r>
      <w:r>
        <w:rPr>
          <w:rFonts w:ascii="楷体" w:eastAsia="楷体" w:hAnsi="楷体"/>
          <w:szCs w:val="21"/>
        </w:rPr>
        <w:t>“</w:t>
      </w:r>
      <w:r>
        <w:rPr>
          <w:rFonts w:ascii="楷体" w:eastAsia="楷体" w:hAnsi="楷体"/>
          <w:szCs w:val="21"/>
        </w:rPr>
        <w:t>国博</w:t>
      </w:r>
      <w:r>
        <w:rPr>
          <w:rFonts w:ascii="楷体" w:eastAsia="楷体" w:hAnsi="楷体"/>
          <w:szCs w:val="21"/>
        </w:rPr>
        <w:t>”</w:t>
      </w:r>
      <w:r>
        <w:rPr>
          <w:rFonts w:ascii="楷体" w:eastAsia="楷体" w:hAnsi="楷体" w:hint="eastAsia"/>
          <w:szCs w:val="21"/>
        </w:rPr>
        <w:t>）是一座</w:t>
      </w:r>
      <w:r>
        <w:rPr>
          <w:rFonts w:ascii="楷体" w:eastAsia="楷体" w:hAnsi="楷体"/>
          <w:szCs w:val="21"/>
        </w:rPr>
        <w:t>全面系统展现</w:t>
      </w:r>
      <w:r>
        <w:rPr>
          <w:rFonts w:ascii="楷体" w:eastAsia="楷体" w:hAnsi="楷体" w:hint="eastAsia"/>
          <w:szCs w:val="21"/>
        </w:rPr>
        <w:t>中华优秀传统文化、革命文化和社会主义先进文化的综合性博物馆。馆中设有“古代中国”“复兴之路”两个基本陈列和</w:t>
      </w:r>
      <w:r>
        <w:rPr>
          <w:rFonts w:ascii="楷体" w:eastAsia="楷体" w:hAnsi="楷体"/>
          <w:szCs w:val="21"/>
        </w:rPr>
        <w:t>10</w:t>
      </w:r>
      <w:r>
        <w:rPr>
          <w:rFonts w:ascii="楷体" w:eastAsia="楷体" w:hAnsi="楷体" w:hint="eastAsia"/>
          <w:szCs w:val="21"/>
        </w:rPr>
        <w:t>多个不同门类的专题展览，</w:t>
      </w:r>
      <w:r>
        <w:rPr>
          <w:rFonts w:ascii="楷体" w:eastAsia="楷体" w:hAnsi="楷体"/>
          <w:szCs w:val="21"/>
        </w:rPr>
        <w:t>每年</w:t>
      </w:r>
      <w:r>
        <w:rPr>
          <w:rFonts w:ascii="楷体" w:eastAsia="楷体" w:hAnsi="楷体" w:hint="eastAsia"/>
          <w:szCs w:val="21"/>
        </w:rPr>
        <w:t>还有</w:t>
      </w:r>
      <w:r>
        <w:rPr>
          <w:rFonts w:ascii="楷体" w:eastAsia="楷体" w:hAnsi="楷体"/>
          <w:szCs w:val="21"/>
        </w:rPr>
        <w:t>50</w:t>
      </w:r>
      <w:r>
        <w:rPr>
          <w:rFonts w:ascii="楷体" w:eastAsia="楷体" w:hAnsi="楷体"/>
          <w:szCs w:val="21"/>
        </w:rPr>
        <w:t>余个临时展览</w:t>
      </w:r>
      <w:r>
        <w:rPr>
          <w:rFonts w:ascii="楷体" w:eastAsia="楷体" w:hAnsi="楷体" w:hint="eastAsia"/>
          <w:szCs w:val="21"/>
        </w:rPr>
        <w:t>，国博已经成为公共教育的重要平台。近年来，国博的展览吸引了国内外众多观众前来参观。</w:t>
      </w:r>
      <w:r>
        <w:rPr>
          <w:rFonts w:ascii="楷体" w:eastAsia="楷体" w:hAnsi="楷体"/>
          <w:szCs w:val="21"/>
        </w:rPr>
        <w:t>2017</w:t>
      </w:r>
      <w:r>
        <w:rPr>
          <w:rFonts w:ascii="楷体" w:eastAsia="楷体" w:hAnsi="楷体"/>
          <w:szCs w:val="21"/>
        </w:rPr>
        <w:t>年</w:t>
      </w:r>
      <w:r>
        <w:rPr>
          <w:rFonts w:ascii="楷体" w:eastAsia="楷体" w:hAnsi="楷体" w:hint="eastAsia"/>
          <w:szCs w:val="21"/>
        </w:rPr>
        <w:t>国博</w:t>
      </w:r>
      <w:r>
        <w:rPr>
          <w:rFonts w:ascii="楷体" w:eastAsia="楷体" w:hAnsi="楷体"/>
          <w:szCs w:val="21"/>
        </w:rPr>
        <w:t>接待观众总</w:t>
      </w:r>
      <w:r>
        <w:rPr>
          <w:rFonts w:ascii="楷体" w:eastAsia="楷体" w:hAnsi="楷体" w:hint="eastAsia"/>
          <w:szCs w:val="21"/>
        </w:rPr>
        <w:t>量达</w:t>
      </w:r>
      <w:r>
        <w:rPr>
          <w:rFonts w:ascii="楷体" w:eastAsia="楷体" w:hAnsi="楷体"/>
          <w:szCs w:val="21"/>
        </w:rPr>
        <w:t>806</w:t>
      </w:r>
      <w:r>
        <w:rPr>
          <w:rFonts w:ascii="楷体" w:eastAsia="楷体" w:hAnsi="楷体" w:hint="eastAsia"/>
          <w:szCs w:val="21"/>
        </w:rPr>
        <w:t>万</w:t>
      </w:r>
      <w:r>
        <w:rPr>
          <w:rFonts w:ascii="楷体" w:eastAsia="楷体" w:hAnsi="楷体"/>
          <w:szCs w:val="21"/>
        </w:rPr>
        <w:t>人次，其中包括未成年观众</w:t>
      </w:r>
      <w:r>
        <w:rPr>
          <w:rFonts w:ascii="楷体" w:eastAsia="楷体" w:hAnsi="楷体"/>
          <w:szCs w:val="21"/>
        </w:rPr>
        <w:t>139</w:t>
      </w:r>
      <w:r>
        <w:rPr>
          <w:rFonts w:ascii="楷体" w:eastAsia="楷体" w:hAnsi="楷体"/>
          <w:szCs w:val="21"/>
        </w:rPr>
        <w:t>万人次</w:t>
      </w:r>
      <w:r>
        <w:rPr>
          <w:rFonts w:ascii="楷体" w:eastAsia="楷体" w:hAnsi="楷体" w:hint="eastAsia"/>
          <w:szCs w:val="21"/>
        </w:rPr>
        <w:t>。为了充分发挥国博的公共教育功能，自</w:t>
      </w:r>
      <w:r>
        <w:rPr>
          <w:rFonts w:ascii="楷体" w:eastAsia="楷体" w:hAnsi="楷体"/>
          <w:szCs w:val="21"/>
        </w:rPr>
        <w:t>2012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5</w:t>
      </w:r>
      <w:r>
        <w:rPr>
          <w:rFonts w:ascii="楷体" w:eastAsia="楷体" w:hAnsi="楷体" w:hint="eastAsia"/>
          <w:szCs w:val="21"/>
        </w:rPr>
        <w:t>月起，国博设立了教育体验区。目前，围绕“历史与艺术并重”的主题，根据家庭、学校和社会不同群体开发了“阳光少年”“社会大课堂”“文化博览”三大系列课程，形</w:t>
      </w:r>
      <w:r>
        <w:rPr>
          <w:rFonts w:ascii="楷体" w:eastAsia="楷体" w:hAnsi="楷体" w:hint="eastAsia"/>
          <w:szCs w:val="21"/>
        </w:rPr>
        <w:t>成了以藏品为基础，以体验为重要方式的公共教育新模式。国博特别重视与学校合作，例如，为了使博物馆的馆藏资源和学校的</w:t>
      </w:r>
      <w:r>
        <w:rPr>
          <w:rFonts w:ascii="楷体" w:eastAsia="楷体" w:hAnsi="楷体"/>
          <w:szCs w:val="21"/>
        </w:rPr>
        <w:t>教学内容</w:t>
      </w:r>
      <w:r>
        <w:rPr>
          <w:rFonts w:ascii="楷体" w:eastAsia="楷体" w:hAnsi="楷体" w:hint="eastAsia"/>
          <w:szCs w:val="21"/>
        </w:rPr>
        <w:t>相互补充，采用</w:t>
      </w:r>
      <w:r>
        <w:rPr>
          <w:rFonts w:ascii="楷体" w:eastAsia="楷体" w:hAnsi="楷体"/>
          <w:szCs w:val="21"/>
        </w:rPr>
        <w:t>“</w:t>
      </w:r>
      <w:r>
        <w:rPr>
          <w:rFonts w:ascii="楷体" w:eastAsia="楷体" w:hAnsi="楷体"/>
          <w:szCs w:val="21"/>
        </w:rPr>
        <w:t>双师教学</w:t>
      </w:r>
      <w:r>
        <w:rPr>
          <w:rFonts w:ascii="楷体" w:eastAsia="楷体" w:hAnsi="楷体"/>
          <w:szCs w:val="21"/>
        </w:rPr>
        <w:t>”</w:t>
      </w:r>
      <w:r>
        <w:rPr>
          <w:rFonts w:ascii="楷体" w:eastAsia="楷体" w:hAnsi="楷体" w:hint="eastAsia"/>
          <w:szCs w:val="21"/>
        </w:rPr>
        <w:t>的</w:t>
      </w:r>
      <w:r>
        <w:rPr>
          <w:rFonts w:ascii="楷体" w:eastAsia="楷体" w:hAnsi="楷体"/>
          <w:szCs w:val="21"/>
        </w:rPr>
        <w:t>模式</w:t>
      </w:r>
      <w:r>
        <w:rPr>
          <w:rFonts w:ascii="楷体" w:eastAsia="楷体" w:hAnsi="楷体" w:hint="eastAsia"/>
          <w:szCs w:val="21"/>
        </w:rPr>
        <w:t>，让学生对所学知识有全方位的认知。</w:t>
      </w:r>
    </w:p>
    <w:p w:rsidR="00495293" w:rsidRDefault="004116C4">
      <w:pPr>
        <w:spacing w:line="288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270510</wp:posOffset>
            </wp:positionV>
            <wp:extent cx="2460625" cy="1479550"/>
            <wp:effectExtent l="19050" t="0" r="0" b="0"/>
            <wp:wrapSquare wrapText="bothSides"/>
            <wp:docPr id="20" name="图片 20" descr="微信图片_2018062510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806251045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5" t="4922" r="4298" b="8435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D67">
        <w:rPr>
          <w:rFonts w:ascii="宋体" w:hAnsi="宋体" w:cs="宋体" w:hint="eastAsia"/>
        </w:rPr>
        <w:t>【材料</w:t>
      </w:r>
      <w:r>
        <w:rPr>
          <w:rFonts w:ascii="宋体" w:hAnsi="宋体" w:cs="宋体" w:hint="eastAsia"/>
        </w:rPr>
        <w:t>二</w:t>
      </w:r>
      <w:r w:rsidR="00360D67">
        <w:rPr>
          <w:rFonts w:ascii="宋体" w:hAnsi="宋体" w:cs="宋体" w:hint="eastAsia"/>
        </w:rPr>
        <w:t>】</w:t>
      </w:r>
    </w:p>
    <w:p w:rsidR="004116C4" w:rsidRDefault="004116C4">
      <w:pPr>
        <w:spacing w:line="288" w:lineRule="auto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/>
          <w:noProof/>
          <w:szCs w:val="21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45720</wp:posOffset>
            </wp:positionV>
            <wp:extent cx="2485390" cy="1466850"/>
            <wp:effectExtent l="19050" t="0" r="0" b="0"/>
            <wp:wrapSquare wrapText="bothSides"/>
            <wp:docPr id="3" name="图片 19" descr="微信图片_2018062510450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8062510450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l="1299" t="6042" r="305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293" w:rsidRPr="003A630F" w:rsidRDefault="00360D67">
      <w:pPr>
        <w:spacing w:line="40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/>
        </w:rPr>
        <w:t>1</w:t>
      </w:r>
      <w:r>
        <w:rPr>
          <w:rFonts w:ascii="宋体" w:hAnsi="宋体"/>
        </w:rPr>
        <w:t>．</w:t>
      </w:r>
      <w:r w:rsidR="00BD737D">
        <w:rPr>
          <w:rFonts w:ascii="宋体" w:hAnsi="宋体" w:hint="eastAsia"/>
        </w:rPr>
        <w:t>【材料一】</w:t>
      </w:r>
      <w:r w:rsidR="003A630F">
        <w:rPr>
          <w:rFonts w:ascii="宋体" w:hAnsi="宋体" w:hint="eastAsia"/>
          <w:szCs w:val="21"/>
        </w:rPr>
        <w:t>与【材料二】中的图1和图2构成</w:t>
      </w:r>
      <w:r w:rsidR="003A630F">
        <w:rPr>
          <w:rFonts w:ascii="宋体" w:hAnsi="宋体" w:hint="eastAsia"/>
          <w:szCs w:val="21"/>
          <w:u w:val="single"/>
        </w:rPr>
        <w:t xml:space="preserve">        </w:t>
      </w:r>
      <w:r w:rsidR="003A630F">
        <w:rPr>
          <w:rFonts w:ascii="宋体" w:hAnsi="宋体" w:hint="eastAsia"/>
          <w:szCs w:val="21"/>
        </w:rPr>
        <w:t>关系。</w:t>
      </w:r>
    </w:p>
    <w:p w:rsidR="003A630F" w:rsidRDefault="00360D67" w:rsidP="003A630F">
      <w:pPr>
        <w:spacing w:line="400" w:lineRule="exact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</w:rPr>
        <w:t>2.</w:t>
      </w:r>
      <w:r w:rsidR="003A630F" w:rsidRPr="003A630F">
        <w:rPr>
          <w:rFonts w:ascii="宋体" w:hAnsi="宋体" w:hint="eastAsia"/>
          <w:szCs w:val="21"/>
        </w:rPr>
        <w:t xml:space="preserve"> </w:t>
      </w:r>
      <w:r w:rsidR="003A630F">
        <w:rPr>
          <w:rFonts w:ascii="宋体" w:hAnsi="宋体" w:hint="eastAsia"/>
          <w:szCs w:val="21"/>
        </w:rPr>
        <w:t>阅读</w:t>
      </w:r>
      <w:r w:rsidR="003A630F">
        <w:rPr>
          <w:rFonts w:ascii="宋体" w:hAnsi="宋体" w:hint="eastAsia"/>
        </w:rPr>
        <w:t>【</w:t>
      </w:r>
      <w:r w:rsidR="003A630F">
        <w:rPr>
          <w:rFonts w:ascii="宋体" w:hAnsi="宋体" w:hint="eastAsia"/>
          <w:szCs w:val="21"/>
        </w:rPr>
        <w:t>材料二</w:t>
      </w:r>
      <w:r w:rsidR="003A630F">
        <w:rPr>
          <w:rFonts w:ascii="宋体" w:hAnsi="宋体" w:hint="eastAsia"/>
        </w:rPr>
        <w:t>】中的</w:t>
      </w:r>
      <w:r w:rsidR="003A630F">
        <w:rPr>
          <w:rFonts w:ascii="宋体" w:hAnsi="宋体" w:hint="eastAsia"/>
          <w:szCs w:val="21"/>
        </w:rPr>
        <w:t>图1和图2，结合</w:t>
      </w:r>
      <w:r w:rsidR="003A630F">
        <w:rPr>
          <w:rFonts w:ascii="宋体" w:hAnsi="宋体" w:hint="eastAsia"/>
        </w:rPr>
        <w:t>【材料一】</w:t>
      </w:r>
      <w:r w:rsidR="003A630F">
        <w:rPr>
          <w:rFonts w:ascii="宋体" w:hAnsi="宋体" w:hint="eastAsia"/>
          <w:szCs w:val="21"/>
        </w:rPr>
        <w:t>说明的主要内容，你得出的结论是什么？</w:t>
      </w:r>
    </w:p>
    <w:p w:rsidR="00495293" w:rsidRDefault="003A630F" w:rsidP="003A630F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</w:t>
      </w:r>
    </w:p>
    <w:p w:rsidR="00495293" w:rsidRDefault="00360D67">
      <w:pPr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二、阅读下面材料，完成试题。</w:t>
      </w:r>
    </w:p>
    <w:p w:rsidR="00495293" w:rsidRDefault="00360D67"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【材料一】</w:t>
      </w:r>
    </w:p>
    <w:p w:rsidR="00495293" w:rsidRDefault="00360D67">
      <w:pPr>
        <w:adjustRightInd w:val="0"/>
        <w:snapToGrid w:val="0"/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</w:t>
      </w:r>
      <w:r>
        <w:rPr>
          <w:rFonts w:ascii="楷体" w:eastAsia="楷体" w:hAnsi="楷体" w:hint="eastAsia"/>
          <w:szCs w:val="21"/>
        </w:rPr>
        <w:t>南水北调工程，是缓解我国北方水资源严重短缺局面的战略性基础设施，分东、中、西三条线路。东线、中线一期工程已分别于</w:t>
      </w:r>
      <w:r>
        <w:rPr>
          <w:rFonts w:ascii="楷体" w:eastAsia="楷体" w:hAnsi="楷体" w:hint="eastAsia"/>
          <w:szCs w:val="21"/>
        </w:rPr>
        <w:t>2013</w:t>
      </w:r>
      <w:r>
        <w:rPr>
          <w:rFonts w:ascii="楷体" w:eastAsia="楷体" w:hAnsi="楷体" w:hint="eastAsia"/>
          <w:szCs w:val="21"/>
        </w:rPr>
        <w:t>年和</w:t>
      </w:r>
      <w:r>
        <w:rPr>
          <w:rFonts w:ascii="楷体" w:eastAsia="楷体" w:hAnsi="楷体" w:hint="eastAsia"/>
          <w:szCs w:val="21"/>
        </w:rPr>
        <w:t>2014</w:t>
      </w:r>
      <w:r>
        <w:rPr>
          <w:rFonts w:ascii="楷体" w:eastAsia="楷体" w:hAnsi="楷体" w:hint="eastAsia"/>
          <w:szCs w:val="21"/>
        </w:rPr>
        <w:t>年通水，以南方充盈之水滋养北方干渴大地的梦想已经实现。南水北调工程将发挥显著的社会效益、生态效益和经济效益。以中线一期工程为例，输送的距离长，流经的范围广，沿线经过多个大中城市，每年可输送的调水量达</w:t>
      </w:r>
      <w:r>
        <w:rPr>
          <w:rFonts w:ascii="楷体" w:eastAsia="楷体" w:hAnsi="楷体" w:hint="eastAsia"/>
          <w:szCs w:val="21"/>
        </w:rPr>
        <w:t>95</w:t>
      </w:r>
      <w:r>
        <w:rPr>
          <w:rFonts w:ascii="楷体" w:eastAsia="楷体" w:hAnsi="楷体" w:hint="eastAsia"/>
          <w:szCs w:val="21"/>
        </w:rPr>
        <w:t>亿立方米，相当于黄河水量的</w:t>
      </w:r>
      <w:r>
        <w:rPr>
          <w:rFonts w:ascii="楷体" w:eastAsia="楷体" w:hAnsi="楷体" w:hint="eastAsia"/>
          <w:szCs w:val="21"/>
        </w:rPr>
        <w:t>1/6</w:t>
      </w:r>
      <w:r>
        <w:rPr>
          <w:rFonts w:ascii="楷体" w:eastAsia="楷体" w:hAnsi="楷体" w:hint="eastAsia"/>
          <w:szCs w:val="21"/>
        </w:rPr>
        <w:t>，直接受益人口达</w:t>
      </w:r>
      <w:r>
        <w:rPr>
          <w:rFonts w:ascii="楷体" w:eastAsia="楷体" w:hAnsi="楷体" w:hint="eastAsia"/>
          <w:szCs w:val="21"/>
        </w:rPr>
        <w:t>6000</w:t>
      </w:r>
      <w:r>
        <w:rPr>
          <w:rFonts w:ascii="楷体" w:eastAsia="楷体" w:hAnsi="楷体" w:hint="eastAsia"/>
          <w:szCs w:val="21"/>
        </w:rPr>
        <w:t>万。根</w:t>
      </w:r>
      <w:r>
        <w:rPr>
          <w:rFonts w:ascii="楷体" w:eastAsia="楷体" w:hAnsi="楷体" w:hint="eastAsia"/>
          <w:szCs w:val="21"/>
        </w:rPr>
        <w:t>据需要，后期将进一步扩大调水规模，减少地下水开采，使水生态恶化的趋势得以缓解。随着受水区水资源生态的改善，影响北方经济发展的“瓶颈”将逐步消除，从而为这些地区经济结构调整创造机会和空间。</w:t>
      </w:r>
    </w:p>
    <w:p w:rsidR="00495293" w:rsidRDefault="00360D67">
      <w:pPr>
        <w:adjustRightInd w:val="0"/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【材料二】</w:t>
      </w:r>
    </w:p>
    <w:p w:rsidR="00495293" w:rsidRDefault="00360D67">
      <w:pPr>
        <w:adjustRightInd w:val="0"/>
        <w:snapToGrid w:val="0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w:drawing>
          <wp:inline distT="0" distB="0" distL="114300" distR="114300">
            <wp:extent cx="2033270" cy="2240915"/>
            <wp:effectExtent l="0" t="0" r="5080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Cs w:val="21"/>
        </w:rPr>
        <w:t xml:space="preserve">                      </w:t>
      </w:r>
    </w:p>
    <w:p w:rsidR="00495293" w:rsidRDefault="00360D67">
      <w:pPr>
        <w:adjustRightInd w:val="0"/>
        <w:snapToGrid w:val="0"/>
        <w:spacing w:line="400" w:lineRule="exact"/>
        <w:jc w:val="center"/>
        <w:rPr>
          <w:rFonts w:ascii="楷体" w:eastAsia="楷体" w:hAnsi="楷体"/>
          <w:szCs w:val="21"/>
        </w:rPr>
      </w:pPr>
      <w:r>
        <w:rPr>
          <w:rFonts w:ascii="宋体" w:hAnsi="宋体" w:cs="宋体" w:hint="eastAsia"/>
          <w:sz w:val="18"/>
          <w:szCs w:val="18"/>
        </w:rPr>
        <w:t>南水北调中线一期工程</w:t>
      </w:r>
      <w:r>
        <w:rPr>
          <w:rFonts w:ascii="宋体" w:hAnsi="宋体" w:cs="宋体" w:hint="eastAsia"/>
          <w:sz w:val="18"/>
          <w:szCs w:val="18"/>
        </w:rPr>
        <w:t>示意图</w:t>
      </w:r>
    </w:p>
    <w:p w:rsidR="00495293" w:rsidRDefault="00495293">
      <w:pPr>
        <w:spacing w:line="400" w:lineRule="exact"/>
        <w:rPr>
          <w:rFonts w:ascii="宋体" w:hAnsi="宋体"/>
          <w:szCs w:val="21"/>
        </w:rPr>
      </w:pPr>
    </w:p>
    <w:p w:rsidR="00495293" w:rsidRPr="00360D67" w:rsidRDefault="00360D6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</w:rPr>
        <w:t>【材料二】</w:t>
      </w:r>
      <w:r>
        <w:rPr>
          <w:rFonts w:ascii="宋体" w:hAnsi="宋体" w:hint="eastAsia"/>
        </w:rPr>
        <w:t>中的</w:t>
      </w:r>
      <w:r>
        <w:rPr>
          <w:rFonts w:ascii="宋体" w:hAnsi="宋体" w:hint="eastAsia"/>
          <w:szCs w:val="21"/>
        </w:rPr>
        <w:t>信息与</w:t>
      </w:r>
      <w:r>
        <w:rPr>
          <w:rFonts w:ascii="宋体" w:hAnsi="宋体" w:hint="eastAsia"/>
          <w:szCs w:val="21"/>
        </w:rPr>
        <w:t>【材料一】中与图相关的文字信息构成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关系</w:t>
      </w:r>
      <w:r>
        <w:rPr>
          <w:rFonts w:ascii="宋体" w:hAnsi="宋体" w:hint="eastAsia"/>
          <w:szCs w:val="21"/>
        </w:rPr>
        <w:t>。</w:t>
      </w:r>
    </w:p>
    <w:p w:rsidR="00360D67" w:rsidRDefault="00360D67" w:rsidP="00360D6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  <w:szCs w:val="21"/>
        </w:rPr>
        <w:t>请你根据</w:t>
      </w:r>
      <w:r>
        <w:rPr>
          <w:rFonts w:ascii="宋体" w:hAnsi="宋体" w:hint="eastAsia"/>
        </w:rPr>
        <w:t>【材料二】中的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示意图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，对【材料一】中与图相关的文字信息进行具体说明。</w:t>
      </w:r>
    </w:p>
    <w:p w:rsidR="00360D67" w:rsidRPr="00360D67" w:rsidRDefault="00360D67" w:rsidP="00360D67">
      <w:pPr>
        <w:spacing w:line="400" w:lineRule="exact"/>
        <w:rPr>
          <w:rFonts w:ascii="宋体" w:hAnsi="宋体" w:hint="eastAsia"/>
          <w:szCs w:val="21"/>
          <w:u w:val="single"/>
        </w:rPr>
      </w:pP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答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495293" w:rsidRDefault="00360D67" w:rsidP="00360D67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5.</w:t>
      </w:r>
      <w:r>
        <w:rPr>
          <w:rFonts w:ascii="宋体" w:hAnsi="宋体" w:hint="eastAsia"/>
        </w:rPr>
        <w:t>请从甲、乙两则材料中选择一段材料与【材料一】构成印证关系</w:t>
      </w:r>
      <w:bookmarkStart w:id="0" w:name="_GoBack"/>
      <w:bookmarkEnd w:id="0"/>
      <w:r>
        <w:rPr>
          <w:rFonts w:ascii="宋体" w:hAnsi="宋体" w:hint="eastAsia"/>
        </w:rPr>
        <w:t>，并简要说明理由。</w:t>
      </w:r>
    </w:p>
    <w:p w:rsidR="00495293" w:rsidRDefault="00360D67">
      <w:pPr>
        <w:spacing w:line="400" w:lineRule="exact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【甲】</w:t>
      </w:r>
    </w:p>
    <w:p w:rsidR="00495293" w:rsidRDefault="00360D67">
      <w:pPr>
        <w:spacing w:line="40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南水北调工程通水五年来，不仅解决了京津冀地区用水资源短缺的问题，更是</w:t>
      </w:r>
      <w:r>
        <w:rPr>
          <w:rFonts w:ascii="楷体" w:eastAsia="楷体" w:hAnsi="楷体"/>
        </w:rPr>
        <w:t>为经济结构调整包括产业结构、地区结构调整创造机会和空间。</w:t>
      </w:r>
      <w:r>
        <w:rPr>
          <w:rFonts w:ascii="楷体" w:eastAsia="楷体" w:hAnsi="楷体" w:hint="eastAsia"/>
        </w:rPr>
        <w:t>通过价格杠杆的作用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</w:rPr>
        <w:t>进一步促进节水型工农业发展，每年增加工农业产值近千亿元。鄂竟平介绍说，南水北调受水区是重要的工业经济发展聚集区、能源基地和粮食主产区，通过调水可以让这些地区破除水资源短缺的瓶颈，更加有利于这些地区发挥区位优势、资源优势，建立富有特色的主导产业，并促进关联产业的发展。</w:t>
      </w:r>
    </w:p>
    <w:p w:rsidR="00495293" w:rsidRDefault="00360D67">
      <w:pPr>
        <w:spacing w:line="400" w:lineRule="exact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【乙】</w:t>
      </w:r>
    </w:p>
    <w:p w:rsidR="00495293" w:rsidRDefault="00360D67">
      <w:pPr>
        <w:spacing w:line="40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12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12</w:t>
      </w:r>
      <w:r>
        <w:rPr>
          <w:rFonts w:ascii="楷体" w:eastAsia="楷体" w:hAnsi="楷体" w:hint="eastAsia"/>
        </w:rPr>
        <w:t>日，南水北调东中线一期工程全面通水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周年。水利部副部长蒋旭光介绍：“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年来，工程运行安全平稳，供水量持续增长，水质稳定达标。”南水北调，成败在治污。通水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年来，丹江口水库和中线干线供水水质稳定在</w:t>
      </w:r>
      <w:r>
        <w:rPr>
          <w:rFonts w:ascii="楷体" w:eastAsia="楷体" w:hAnsi="楷体" w:hint="eastAsia"/>
        </w:rPr>
        <w:t>II</w:t>
      </w:r>
      <w:r>
        <w:rPr>
          <w:rFonts w:ascii="楷体" w:eastAsia="楷体" w:hAnsi="楷体" w:hint="eastAsia"/>
        </w:rPr>
        <w:t>类标准及以上，东线工程稳定在</w:t>
      </w:r>
      <w:r>
        <w:rPr>
          <w:rFonts w:ascii="楷体" w:eastAsia="楷体" w:hAnsi="楷体" w:hint="eastAsia"/>
        </w:rPr>
        <w:t>III</w:t>
      </w:r>
      <w:r>
        <w:rPr>
          <w:rFonts w:ascii="楷体" w:eastAsia="楷体" w:hAnsi="楷体" w:hint="eastAsia"/>
        </w:rPr>
        <w:t>类标准。沿线群众饮水质量显著改善，河北黑龙港地区的</w:t>
      </w:r>
      <w:r>
        <w:rPr>
          <w:rFonts w:ascii="楷体" w:eastAsia="楷体" w:hAnsi="楷体" w:hint="eastAsia"/>
        </w:rPr>
        <w:t>500</w:t>
      </w:r>
      <w:r>
        <w:rPr>
          <w:rFonts w:ascii="楷体" w:eastAsia="楷体" w:hAnsi="楷体" w:hint="eastAsia"/>
        </w:rPr>
        <w:t>多万群众告别了长期饮用高氟水、苦咸水的历史。南水北调为京津冀协同发展、雄安新区建设等国家重大战略实施提供了安全可靠的水资源支撑。</w:t>
      </w:r>
    </w:p>
    <w:p w:rsidR="00495293" w:rsidRDefault="00360D67">
      <w:pPr>
        <w:spacing w:line="4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选择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szCs w:val="21"/>
          <w:u w:val="single"/>
        </w:rPr>
        <w:t xml:space="preserve">          </w:t>
      </w:r>
    </w:p>
    <w:p w:rsidR="00495293" w:rsidRDefault="00360D67">
      <w:pPr>
        <w:spacing w:line="400" w:lineRule="exact"/>
        <w:ind w:firstLineChars="100" w:firstLine="21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理由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495293" w:rsidRDefault="00360D67">
      <w:pPr>
        <w:spacing w:line="400" w:lineRule="exact"/>
        <w:ind w:firstLineChars="300" w:firstLine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:rsidR="00495293" w:rsidRDefault="00495293">
      <w:pPr>
        <w:spacing w:line="400" w:lineRule="exact"/>
        <w:ind w:firstLineChars="300" w:firstLine="630"/>
        <w:rPr>
          <w:rFonts w:ascii="宋体" w:hAnsi="宋体"/>
          <w:szCs w:val="21"/>
          <w:u w:val="single"/>
        </w:rPr>
      </w:pPr>
    </w:p>
    <w:sectPr w:rsidR="00495293" w:rsidSect="004952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06675"/>
    <w:rsid w:val="000B27A2"/>
    <w:rsid w:val="00101E4F"/>
    <w:rsid w:val="00123353"/>
    <w:rsid w:val="00150609"/>
    <w:rsid w:val="00184B72"/>
    <w:rsid w:val="001E641A"/>
    <w:rsid w:val="002545B4"/>
    <w:rsid w:val="002752B8"/>
    <w:rsid w:val="00280CC4"/>
    <w:rsid w:val="002B108D"/>
    <w:rsid w:val="002D3BDB"/>
    <w:rsid w:val="002D3D41"/>
    <w:rsid w:val="00360D67"/>
    <w:rsid w:val="003625BE"/>
    <w:rsid w:val="003822C1"/>
    <w:rsid w:val="003A630F"/>
    <w:rsid w:val="003A7A52"/>
    <w:rsid w:val="003C36BC"/>
    <w:rsid w:val="004116C4"/>
    <w:rsid w:val="00442D29"/>
    <w:rsid w:val="00491CC6"/>
    <w:rsid w:val="00495293"/>
    <w:rsid w:val="004C777C"/>
    <w:rsid w:val="004E3563"/>
    <w:rsid w:val="004E6820"/>
    <w:rsid w:val="00503691"/>
    <w:rsid w:val="00505FA6"/>
    <w:rsid w:val="005468F5"/>
    <w:rsid w:val="005A3213"/>
    <w:rsid w:val="005D3133"/>
    <w:rsid w:val="00677335"/>
    <w:rsid w:val="006D70CD"/>
    <w:rsid w:val="006F218E"/>
    <w:rsid w:val="006F351E"/>
    <w:rsid w:val="00746BDB"/>
    <w:rsid w:val="0075135A"/>
    <w:rsid w:val="00766CB5"/>
    <w:rsid w:val="00805794"/>
    <w:rsid w:val="00806A02"/>
    <w:rsid w:val="009037B6"/>
    <w:rsid w:val="009729EA"/>
    <w:rsid w:val="00977B78"/>
    <w:rsid w:val="00A32D8F"/>
    <w:rsid w:val="00A609BE"/>
    <w:rsid w:val="00A60FC4"/>
    <w:rsid w:val="00AB13B1"/>
    <w:rsid w:val="00AE5DDF"/>
    <w:rsid w:val="00B10026"/>
    <w:rsid w:val="00B10697"/>
    <w:rsid w:val="00B155CF"/>
    <w:rsid w:val="00B45BEB"/>
    <w:rsid w:val="00B67A4D"/>
    <w:rsid w:val="00BD737D"/>
    <w:rsid w:val="00C32325"/>
    <w:rsid w:val="00CD6F73"/>
    <w:rsid w:val="00CF439B"/>
    <w:rsid w:val="00D55238"/>
    <w:rsid w:val="00D64F68"/>
    <w:rsid w:val="00D96387"/>
    <w:rsid w:val="00DC291A"/>
    <w:rsid w:val="00DC7731"/>
    <w:rsid w:val="00E1317A"/>
    <w:rsid w:val="00E17A30"/>
    <w:rsid w:val="00E66EEF"/>
    <w:rsid w:val="00F36FF0"/>
    <w:rsid w:val="00F5221F"/>
    <w:rsid w:val="00F8633F"/>
    <w:rsid w:val="00FD7D9F"/>
    <w:rsid w:val="00FE39F3"/>
    <w:rsid w:val="00FF5C22"/>
    <w:rsid w:val="00FF5F7A"/>
    <w:rsid w:val="0C195AC3"/>
    <w:rsid w:val="52B5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95293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9529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49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9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sid w:val="00495293"/>
    <w:rPr>
      <w:szCs w:val="22"/>
    </w:rPr>
  </w:style>
  <w:style w:type="paragraph" w:customStyle="1" w:styleId="DefaultParagraph">
    <w:name w:val="DefaultParagraph"/>
    <w:link w:val="DefaultParagraphChar"/>
    <w:rsid w:val="00495293"/>
    <w:rPr>
      <w:kern w:val="2"/>
      <w:sz w:val="21"/>
      <w:szCs w:val="22"/>
    </w:rPr>
  </w:style>
  <w:style w:type="character" w:customStyle="1" w:styleId="Char">
    <w:name w:val="纯文本 Char"/>
    <w:link w:val="a3"/>
    <w:rsid w:val="00495293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495293"/>
    <w:rPr>
      <w:rFonts w:asciiTheme="minorEastAsia" w:hAnsi="Courier New" w:cs="Courier New"/>
      <w:szCs w:val="22"/>
    </w:rPr>
  </w:style>
  <w:style w:type="character" w:customStyle="1" w:styleId="Char2">
    <w:name w:val="页眉 Char"/>
    <w:basedOn w:val="a0"/>
    <w:link w:val="a6"/>
    <w:uiPriority w:val="99"/>
    <w:semiHidden/>
    <w:qFormat/>
    <w:rsid w:val="0049529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9529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952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1A801-6AA7-47CA-99FC-24CBAA57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41</cp:revision>
  <dcterms:created xsi:type="dcterms:W3CDTF">2020-02-23T04:47:00Z</dcterms:created>
  <dcterms:modified xsi:type="dcterms:W3CDTF">2020-02-26T12:13:00Z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