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高二年级历史第12课时《北魏孝文帝改革B》拓展提升任务</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北魏孝文帝改革是中国历史发展进程中具有重大影响的著名改革。阅读材料</w:t>
      </w:r>
      <w:r>
        <w:rPr>
          <w:rFonts w:hint="eastAsia" w:ascii="宋体" w:hAnsi="宋体" w:cs="宋体"/>
          <w:sz w:val="24"/>
          <w:szCs w:val="24"/>
          <w:lang w:eastAsia="zh-CN"/>
        </w:rPr>
        <w:t>，</w:t>
      </w:r>
      <w:r>
        <w:rPr>
          <w:rFonts w:hint="eastAsia" w:ascii="宋体" w:hAnsi="宋体" w:cs="宋体"/>
          <w:sz w:val="24"/>
          <w:szCs w:val="24"/>
          <w:lang w:val="en-US" w:eastAsia="zh-CN"/>
        </w:rPr>
        <w:t>回答问题。</w:t>
      </w:r>
    </w:p>
    <w:p>
      <w:pPr>
        <w:spacing w:line="360" w:lineRule="auto"/>
        <w:rPr>
          <w:rFonts w:hint="eastAsia" w:ascii="楷体" w:hAnsi="楷体" w:eastAsia="楷体" w:cs="楷体"/>
          <w:sz w:val="24"/>
          <w:szCs w:val="24"/>
        </w:rPr>
      </w:pPr>
      <w:r>
        <w:rPr>
          <w:rFonts w:hint="eastAsia" w:ascii="黑体" w:hAnsi="黑体" w:eastAsia="黑体" w:cs="黑体"/>
          <w:b/>
          <w:bCs/>
          <w:sz w:val="24"/>
          <w:szCs w:val="24"/>
        </w:rPr>
        <w:t>材料一</w:t>
      </w:r>
      <w:r>
        <w:rPr>
          <w:rFonts w:hint="eastAsia" w:ascii="宋体" w:hAnsi="宋体" w:cs="宋体"/>
          <w:sz w:val="24"/>
          <w:szCs w:val="24"/>
          <w:lang w:val="en-US" w:eastAsia="zh-CN"/>
        </w:rPr>
        <w:t xml:space="preserve">  </w:t>
      </w:r>
      <w:r>
        <w:rPr>
          <w:rFonts w:hint="eastAsia" w:ascii="楷体" w:hAnsi="楷体" w:eastAsia="楷体" w:cs="楷体"/>
          <w:sz w:val="24"/>
          <w:szCs w:val="24"/>
        </w:rPr>
        <w:t>北魏拓跋珪即位后，采纳汉臣崔宏建议，自谓黄帝之后。据《魏书》记载，拓跋氏追溯的初祖是受封北土的黄帝嫡孙。拓跋珪及继任的三位皇帝亲往或遣使至涿鹿黄帝庙祭祀。</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至孝文帝，又下诏：“魏之先出于黄帝，以土德王，故为拓跋氏。夫土者，黄中之色，万物之元也；宜改姓元氏。”面对关于迁都的质疑，他说：“黄帝以天下未定，居于涿鹿，既定之后，亦迁于河南。”孝文帝主持定姓族时，汉臣薛宗起建议不应以祖先曾经的居住地为确定门第等级的主要标准，他说：“陛下黄帝之胤，受封北土，岂可亦谓之胡邪!”</w:t>
      </w:r>
    </w:p>
    <w:p>
      <w:pPr>
        <w:spacing w:line="360" w:lineRule="auto"/>
        <w:rPr>
          <w:rFonts w:hint="eastAsia" w:ascii="宋体" w:hAnsi="宋体" w:eastAsia="宋体" w:cs="宋体"/>
          <w:sz w:val="24"/>
          <w:szCs w:val="24"/>
        </w:rPr>
      </w:pPr>
      <w:r>
        <w:rPr>
          <w:rFonts w:hint="eastAsia" w:ascii="宋体" w:hAnsi="宋体" w:eastAsia="宋体" w:cs="宋体"/>
          <w:sz w:val="24"/>
          <w:szCs w:val="24"/>
        </w:rPr>
        <w:t>（1）概述北魏统治者追溯祖先的目的、过程与效果。</w:t>
      </w:r>
    </w:p>
    <w:p>
      <w:pPr>
        <w:spacing w:line="360" w:lineRule="auto"/>
        <w:rPr>
          <w:rFonts w:hint="eastAsia" w:ascii="宋体" w:hAnsi="宋体" w:eastAsia="宋体" w:cs="宋体"/>
          <w:sz w:val="24"/>
          <w:szCs w:val="24"/>
        </w:rPr>
      </w:pPr>
      <w:bookmarkStart w:id="0" w:name="_GoBack"/>
      <w:bookmarkEnd w:id="0"/>
      <w:r>
        <w:rPr>
          <w:rFonts w:hint="eastAsia" w:ascii="黑体" w:hAnsi="黑体" w:eastAsia="黑体" w:cs="黑体"/>
          <w:b/>
          <w:bCs/>
          <w:sz w:val="24"/>
          <w:szCs w:val="24"/>
        </w:rPr>
        <w:t>材料二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985"/>
        <w:gridCol w:w="2551"/>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时期</w:t>
            </w:r>
          </w:p>
        </w:tc>
        <w:tc>
          <w:tcPr>
            <w:tcW w:w="1985"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盛乐时期</w:t>
            </w:r>
            <w:r>
              <w:rPr>
                <w:rFonts w:hint="eastAsia" w:ascii="楷体" w:hAnsi="楷体" w:eastAsia="楷体" w:cs="楷体"/>
                <w:sz w:val="24"/>
                <w:szCs w:val="24"/>
              </w:rPr>
              <w:br w:type="textWrapping"/>
            </w:r>
            <w:r>
              <w:rPr>
                <w:rFonts w:hint="eastAsia" w:ascii="楷体" w:hAnsi="楷体" w:eastAsia="楷体" w:cs="楷体"/>
                <w:sz w:val="24"/>
                <w:szCs w:val="24"/>
              </w:rPr>
              <w:t>（258-398年）</w:t>
            </w:r>
          </w:p>
        </w:tc>
        <w:tc>
          <w:tcPr>
            <w:tcW w:w="2551"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平城时期</w:t>
            </w:r>
            <w:r>
              <w:rPr>
                <w:rFonts w:hint="eastAsia" w:ascii="楷体" w:hAnsi="楷体" w:eastAsia="楷体" w:cs="楷体"/>
                <w:sz w:val="24"/>
                <w:szCs w:val="24"/>
              </w:rPr>
              <w:br w:type="textWrapping"/>
            </w:r>
            <w:r>
              <w:rPr>
                <w:rFonts w:hint="eastAsia" w:ascii="楷体" w:hAnsi="楷体" w:eastAsia="楷体" w:cs="楷体"/>
                <w:sz w:val="24"/>
                <w:szCs w:val="24"/>
              </w:rPr>
              <w:t>（398-494年）</w:t>
            </w:r>
          </w:p>
        </w:tc>
        <w:tc>
          <w:tcPr>
            <w:tcW w:w="2539"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洛阳时期</w:t>
            </w:r>
            <w:r>
              <w:rPr>
                <w:rFonts w:hint="eastAsia" w:ascii="楷体" w:hAnsi="楷体" w:eastAsia="楷体" w:cs="楷体"/>
                <w:sz w:val="24"/>
                <w:szCs w:val="24"/>
              </w:rPr>
              <w:br w:type="textWrapping"/>
            </w:r>
            <w:r>
              <w:rPr>
                <w:rFonts w:hint="eastAsia" w:ascii="楷体" w:hAnsi="楷体" w:eastAsia="楷体" w:cs="楷体"/>
                <w:sz w:val="24"/>
                <w:szCs w:val="24"/>
              </w:rPr>
              <w:t>（494-534年）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北魏墓葬</w:t>
            </w:r>
            <w:r>
              <w:rPr>
                <w:rFonts w:hint="eastAsia" w:ascii="楷体" w:hAnsi="楷体" w:eastAsia="楷体" w:cs="楷体"/>
                <w:sz w:val="24"/>
                <w:szCs w:val="24"/>
              </w:rPr>
              <w:br w:type="textWrapping"/>
            </w:r>
            <w:r>
              <w:rPr>
                <w:rFonts w:hint="eastAsia" w:ascii="楷体" w:hAnsi="楷体" w:eastAsia="楷体" w:cs="楷体"/>
                <w:sz w:val="24"/>
                <w:szCs w:val="24"/>
              </w:rPr>
              <w:t>出土服饰</w:t>
            </w:r>
            <w:r>
              <w:rPr>
                <w:rFonts w:hint="eastAsia" w:ascii="楷体" w:hAnsi="楷体" w:eastAsia="楷体" w:cs="楷体"/>
                <w:sz w:val="24"/>
                <w:szCs w:val="24"/>
              </w:rPr>
              <w:br w:type="textWrapping"/>
            </w:r>
            <w:r>
              <w:rPr>
                <w:rFonts w:hint="eastAsia" w:ascii="楷体" w:hAnsi="楷体" w:eastAsia="楷体" w:cs="楷体"/>
                <w:sz w:val="24"/>
                <w:szCs w:val="24"/>
              </w:rPr>
              <w:t>形制代表</w:t>
            </w:r>
          </w:p>
        </w:tc>
        <w:tc>
          <w:tcPr>
            <w:tcW w:w="1985"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 </w:t>
            </w:r>
            <w:r>
              <w:rPr>
                <w:rFonts w:hint="eastAsia" w:ascii="楷体" w:hAnsi="楷体" w:eastAsia="楷体" w:cs="楷体"/>
                <w:sz w:val="24"/>
                <w:szCs w:val="24"/>
              </w:rPr>
              <w:drawing>
                <wp:inline distT="0" distB="0" distL="0" distR="0">
                  <wp:extent cx="812800" cy="801370"/>
                  <wp:effectExtent l="0" t="0" r="6350" b="17780"/>
                  <wp:docPr id="3" name="图片 3"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2800" cy="801370"/>
                          </a:xfrm>
                          <a:prstGeom prst="rect">
                            <a:avLst/>
                          </a:prstGeom>
                          <a:noFill/>
                          <a:ln>
                            <a:noFill/>
                          </a:ln>
                        </pic:spPr>
                      </pic:pic>
                    </a:graphicData>
                  </a:graphic>
                </wp:inline>
              </w:drawing>
            </w:r>
          </w:p>
        </w:tc>
        <w:tc>
          <w:tcPr>
            <w:tcW w:w="2551"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 </w:t>
            </w:r>
            <w:r>
              <w:rPr>
                <w:rFonts w:hint="eastAsia" w:ascii="楷体" w:hAnsi="楷体" w:eastAsia="楷体" w:cs="楷体"/>
                <w:sz w:val="24"/>
                <w:szCs w:val="24"/>
              </w:rPr>
              <w:drawing>
                <wp:inline distT="0" distB="0" distL="0" distR="0">
                  <wp:extent cx="817880" cy="962025"/>
                  <wp:effectExtent l="0" t="0" r="1270" b="9525"/>
                  <wp:docPr id="2" name="图片 2"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17880" cy="962025"/>
                          </a:xfrm>
                          <a:prstGeom prst="rect">
                            <a:avLst/>
                          </a:prstGeom>
                          <a:noFill/>
                          <a:ln>
                            <a:noFill/>
                          </a:ln>
                        </pic:spPr>
                      </pic:pic>
                    </a:graphicData>
                  </a:graphic>
                </wp:inline>
              </w:drawing>
            </w:r>
          </w:p>
        </w:tc>
        <w:tc>
          <w:tcPr>
            <w:tcW w:w="2539"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 </w:t>
            </w:r>
            <w:r>
              <w:rPr>
                <w:rFonts w:hint="eastAsia" w:ascii="楷体" w:hAnsi="楷体" w:eastAsia="楷体" w:cs="楷体"/>
                <w:sz w:val="24"/>
                <w:szCs w:val="24"/>
              </w:rPr>
              <w:drawing>
                <wp:inline distT="0" distB="0" distL="0" distR="0">
                  <wp:extent cx="1092200" cy="1092200"/>
                  <wp:effectExtent l="0" t="0" r="12700" b="12700"/>
                  <wp:docPr id="1" name="图片 1"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92200" cy="1092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出土地址</w:t>
            </w:r>
          </w:p>
        </w:tc>
        <w:tc>
          <w:tcPr>
            <w:tcW w:w="1985"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呼和浩特鲜卑墓</w:t>
            </w:r>
          </w:p>
        </w:tc>
        <w:tc>
          <w:tcPr>
            <w:tcW w:w="2551"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大同深井墓</w:t>
            </w:r>
          </w:p>
        </w:tc>
        <w:tc>
          <w:tcPr>
            <w:tcW w:w="2539"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河南偃师染华墓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解释</w:t>
            </w:r>
          </w:p>
        </w:tc>
        <w:tc>
          <w:tcPr>
            <w:tcW w:w="1985"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该时期服饰多头戴风衫足游皮靴。</w:t>
            </w:r>
          </w:p>
        </w:tc>
        <w:tc>
          <w:tcPr>
            <w:tcW w:w="2551"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多数窄袖袍衫、垂裙黑帽；少数头戴小冠，褒衣博带（汉服特点）；个别窄袖袍衫与褒衣博带并存。</w:t>
            </w:r>
          </w:p>
        </w:tc>
        <w:tc>
          <w:tcPr>
            <w:tcW w:w="2539" w:type="dxa"/>
            <w:shd w:val="clear" w:color="auto" w:fill="auto"/>
          </w:tcPr>
          <w:p>
            <w:pPr>
              <w:spacing w:line="360" w:lineRule="auto"/>
              <w:rPr>
                <w:rFonts w:hint="eastAsia" w:ascii="楷体" w:hAnsi="楷体" w:eastAsia="楷体" w:cs="楷体"/>
                <w:sz w:val="24"/>
                <w:szCs w:val="24"/>
              </w:rPr>
            </w:pPr>
            <w:r>
              <w:rPr>
                <w:rFonts w:hint="eastAsia" w:ascii="楷体" w:hAnsi="楷体" w:eastAsia="楷体" w:cs="楷体"/>
                <w:sz w:val="24"/>
                <w:szCs w:val="24"/>
              </w:rPr>
              <w:t>该时期既有南朝官服元素，又揉合鲜卑服饰款式特征。汉族墓葬出现上衣下裤、长靴及膝现象。</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注：鲜卑拓跋部于公元258年迁居到盛乐（今内蒙古和林格尔），后建立代政权，398年迁都平城（今山西省大同）</w:t>
      </w:r>
      <w:r>
        <w:rPr>
          <w:rFonts w:hint="eastAsia" w:ascii="宋体" w:hAnsi="宋体" w:eastAsia="宋体" w:cs="宋体"/>
          <w:sz w:val="24"/>
          <w:szCs w:val="24"/>
        </w:rPr>
        <w:br w:type="textWrapping"/>
      </w:r>
      <w:r>
        <w:rPr>
          <w:rFonts w:hint="eastAsia" w:ascii="宋体" w:hAnsi="宋体" w:eastAsia="宋体" w:cs="宋体"/>
          <w:sz w:val="24"/>
          <w:szCs w:val="24"/>
        </w:rPr>
        <w:t>（2）依据材料二，概括北魏时期服饰文化发展趋势，从史料角度分析北魏墓葬出土文物的价值。（6分）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Calisto MT">
    <w:panose1 w:val="020406030505050303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08"/>
    <w:rsid w:val="000A7EB9"/>
    <w:rsid w:val="0018537A"/>
    <w:rsid w:val="003A5E57"/>
    <w:rsid w:val="003F7EDA"/>
    <w:rsid w:val="00666811"/>
    <w:rsid w:val="006A600A"/>
    <w:rsid w:val="006A6B08"/>
    <w:rsid w:val="0070728C"/>
    <w:rsid w:val="00760504"/>
    <w:rsid w:val="00863C6F"/>
    <w:rsid w:val="00B50434"/>
    <w:rsid w:val="00C2582E"/>
    <w:rsid w:val="00C75008"/>
    <w:rsid w:val="00D91902"/>
    <w:rsid w:val="00E87B74"/>
    <w:rsid w:val="7E5E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553</Characters>
  <Lines>4</Lines>
  <Paragraphs>1</Paragraphs>
  <TotalTime>253</TotalTime>
  <ScaleCrop>false</ScaleCrop>
  <LinksUpToDate>false</LinksUpToDate>
  <CharactersWithSpaces>649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2020-02-10T08:03:00Z</dcterms:created>
  <dc:creator>京琼 吴</dc:creator>
  <cp:lastModifiedBy>徐海滨</cp:lastModifiedBy>
  <dcterms:modified xsi:type="dcterms:W3CDTF">2020-02-16T14:50:34Z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