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DD2E11" w:rsidRDefault="00A76138" w:rsidP="00DD2E11">
      <w:pPr>
        <w:spacing w:line="30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DD2E11">
        <w:rPr>
          <w:rFonts w:ascii="Times New Roman" w:eastAsia="宋体" w:hAnsi="Times New Roman" w:cs="Times New Roman"/>
          <w:b/>
          <w:sz w:val="24"/>
        </w:rPr>
        <w:t>多彩的化学变化</w:t>
      </w:r>
      <w:r w:rsidR="00A344EE" w:rsidRPr="00DD2E11">
        <w:rPr>
          <w:rFonts w:ascii="Times New Roman" w:eastAsia="宋体" w:hAnsi="Times New Roman" w:cs="Times New Roman"/>
          <w:b/>
          <w:sz w:val="24"/>
        </w:rPr>
        <w:t>——</w:t>
      </w:r>
      <w:r w:rsidR="00A344EE" w:rsidRPr="00DD2E11">
        <w:rPr>
          <w:rFonts w:ascii="Times New Roman" w:eastAsia="宋体" w:hAnsi="Times New Roman" w:cs="Times New Roman"/>
          <w:b/>
          <w:sz w:val="24"/>
        </w:rPr>
        <w:t>学习任务单</w:t>
      </w:r>
    </w:p>
    <w:p w:rsidR="00966353" w:rsidRPr="00DD2E11" w:rsidRDefault="00966353" w:rsidP="00DD2E11">
      <w:pPr>
        <w:tabs>
          <w:tab w:val="left" w:pos="7655"/>
        </w:tabs>
        <w:spacing w:line="300" w:lineRule="auto"/>
        <w:ind w:left="316" w:hangingChars="150" w:hanging="316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DD2E11">
        <w:rPr>
          <w:rFonts w:ascii="Times New Roman" w:eastAsia="宋体" w:hAnsi="Times New Roman" w:cs="Times New Roman"/>
          <w:b/>
          <w:bCs/>
          <w:szCs w:val="21"/>
        </w:rPr>
        <w:t>【学习目标】</w:t>
      </w:r>
    </w:p>
    <w:p w:rsidR="00DB091A" w:rsidRDefault="00966353" w:rsidP="00DB091A">
      <w:pPr>
        <w:tabs>
          <w:tab w:val="left" w:pos="7655"/>
        </w:tabs>
        <w:spacing w:line="300" w:lineRule="auto"/>
        <w:ind w:leftChars="100" w:left="315" w:hangingChars="50" w:hanging="105"/>
        <w:jc w:val="left"/>
        <w:rPr>
          <w:rFonts w:ascii="Times New Roman" w:eastAsia="宋体" w:hAnsi="Times New Roman" w:cs="Times New Roman" w:hint="eastAsia"/>
          <w:szCs w:val="21"/>
        </w:rPr>
      </w:pPr>
      <w:r w:rsidRPr="00DD2E11">
        <w:rPr>
          <w:rFonts w:ascii="Times New Roman" w:eastAsia="宋体" w:hAnsi="Times New Roman" w:cs="Times New Roman"/>
          <w:szCs w:val="21"/>
        </w:rPr>
        <w:t xml:space="preserve">1. </w:t>
      </w:r>
      <w:r w:rsidR="004E5401" w:rsidRPr="00DD2E11">
        <w:rPr>
          <w:rFonts w:ascii="Times New Roman" w:eastAsia="宋体" w:hAnsi="Times New Roman" w:cs="Times New Roman"/>
          <w:szCs w:val="21"/>
        </w:rPr>
        <w:t>利用</w:t>
      </w:r>
      <w:r w:rsidRPr="00DD2E11">
        <w:rPr>
          <w:rFonts w:ascii="Times New Roman" w:eastAsia="宋体" w:hAnsi="Times New Roman" w:cs="Times New Roman"/>
          <w:szCs w:val="21"/>
        </w:rPr>
        <w:t>收集家庭中的各种物质，</w:t>
      </w:r>
      <w:r w:rsidR="004E5401" w:rsidRPr="00DD2E11">
        <w:rPr>
          <w:rFonts w:ascii="Times New Roman" w:eastAsia="宋体" w:hAnsi="Times New Roman" w:cs="Times New Roman"/>
          <w:szCs w:val="21"/>
        </w:rPr>
        <w:t>复习梳理有关物质分类的知识，并进一步巩固有关酸、碱、盐</w:t>
      </w:r>
    </w:p>
    <w:p w:rsidR="00966353" w:rsidRPr="00DD2E11" w:rsidRDefault="004E5401" w:rsidP="00DB091A">
      <w:pPr>
        <w:tabs>
          <w:tab w:val="left" w:pos="7655"/>
        </w:tabs>
        <w:spacing w:line="300" w:lineRule="auto"/>
        <w:ind w:leftChars="150" w:left="315" w:firstLineChars="100" w:firstLine="210"/>
        <w:jc w:val="left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DD2E11">
        <w:rPr>
          <w:rFonts w:ascii="Times New Roman" w:eastAsia="宋体" w:hAnsi="Times New Roman" w:cs="Times New Roman"/>
          <w:szCs w:val="21"/>
        </w:rPr>
        <w:t>的判断。</w:t>
      </w:r>
    </w:p>
    <w:p w:rsidR="00966353" w:rsidRPr="00DD2E11" w:rsidRDefault="00966353" w:rsidP="00DB091A">
      <w:pPr>
        <w:tabs>
          <w:tab w:val="left" w:pos="7655"/>
        </w:tabs>
        <w:spacing w:line="300" w:lineRule="auto"/>
        <w:ind w:leftChars="100" w:left="315" w:hangingChars="50" w:hanging="105"/>
        <w:jc w:val="left"/>
        <w:rPr>
          <w:rFonts w:ascii="Times New Roman" w:eastAsia="宋体" w:hAnsi="Times New Roman" w:cs="Times New Roman"/>
          <w:szCs w:val="21"/>
        </w:rPr>
      </w:pPr>
      <w:r w:rsidRPr="00DD2E11">
        <w:rPr>
          <w:rFonts w:ascii="Times New Roman" w:eastAsia="宋体" w:hAnsi="Times New Roman" w:cs="Times New Roman"/>
          <w:szCs w:val="21"/>
        </w:rPr>
        <w:t xml:space="preserve">2. </w:t>
      </w:r>
      <w:r w:rsidR="00DD2E11">
        <w:rPr>
          <w:rFonts w:ascii="Times New Roman" w:eastAsia="宋体" w:hAnsi="Times New Roman" w:cs="Times New Roman"/>
          <w:szCs w:val="21"/>
        </w:rPr>
        <w:t>通过阅读标签等信息，提升</w:t>
      </w:r>
      <w:r w:rsidR="004E5401" w:rsidRPr="00DD2E11">
        <w:rPr>
          <w:rFonts w:ascii="Times New Roman" w:eastAsia="宋体" w:hAnsi="Times New Roman" w:cs="Times New Roman"/>
          <w:szCs w:val="21"/>
        </w:rPr>
        <w:t>获取有效信息的能力，同时复习巩固生活中常见物质的俗称。</w:t>
      </w:r>
    </w:p>
    <w:p w:rsidR="00DB091A" w:rsidRDefault="00966353" w:rsidP="00DB091A">
      <w:pPr>
        <w:tabs>
          <w:tab w:val="left" w:pos="7655"/>
        </w:tabs>
        <w:spacing w:line="300" w:lineRule="auto"/>
        <w:ind w:leftChars="100" w:left="315" w:hangingChars="50" w:hanging="105"/>
        <w:jc w:val="left"/>
        <w:rPr>
          <w:rFonts w:ascii="Times New Roman" w:eastAsia="宋体" w:hAnsi="Times New Roman" w:cs="Times New Roman" w:hint="eastAsia"/>
          <w:szCs w:val="21"/>
        </w:rPr>
      </w:pPr>
      <w:r w:rsidRPr="00DD2E11">
        <w:rPr>
          <w:rFonts w:ascii="Times New Roman" w:eastAsia="宋体" w:hAnsi="Times New Roman" w:cs="Times New Roman"/>
          <w:szCs w:val="21"/>
        </w:rPr>
        <w:t xml:space="preserve">3. </w:t>
      </w:r>
      <w:r w:rsidR="004E5401" w:rsidRPr="00DD2E11">
        <w:rPr>
          <w:rFonts w:ascii="Times New Roman" w:eastAsia="宋体" w:hAnsi="Times New Roman" w:cs="Times New Roman"/>
          <w:szCs w:val="21"/>
        </w:rPr>
        <w:t>通过自制酸碱指示剂和试纸，复习巩固酸碱指示剂与</w:t>
      </w:r>
      <w:r w:rsidR="004E5401" w:rsidRPr="00DD2E11">
        <w:rPr>
          <w:rFonts w:ascii="Times New Roman" w:eastAsia="宋体" w:hAnsi="Times New Roman" w:cs="Times New Roman"/>
          <w:szCs w:val="21"/>
        </w:rPr>
        <w:t>pH</w:t>
      </w:r>
      <w:r w:rsidR="004E5401" w:rsidRPr="00DD2E11">
        <w:rPr>
          <w:rFonts w:ascii="Times New Roman" w:eastAsia="宋体" w:hAnsi="Times New Roman" w:cs="Times New Roman"/>
          <w:szCs w:val="21"/>
        </w:rPr>
        <w:t>的相关知识，能用科学的方法进行</w:t>
      </w:r>
    </w:p>
    <w:p w:rsidR="00966353" w:rsidRPr="00DD2E11" w:rsidRDefault="004E5401" w:rsidP="00DB091A">
      <w:pPr>
        <w:tabs>
          <w:tab w:val="left" w:pos="7655"/>
        </w:tabs>
        <w:spacing w:line="300" w:lineRule="auto"/>
        <w:ind w:leftChars="150" w:left="315"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DD2E11">
        <w:rPr>
          <w:rFonts w:ascii="Times New Roman" w:eastAsia="宋体" w:hAnsi="Times New Roman" w:cs="Times New Roman"/>
          <w:szCs w:val="21"/>
        </w:rPr>
        <w:t>实验设计，具有控制变量的思想</w:t>
      </w:r>
      <w:r w:rsidR="00C91913" w:rsidRPr="00DD2E11">
        <w:rPr>
          <w:rFonts w:ascii="Times New Roman" w:eastAsia="宋体" w:hAnsi="Times New Roman" w:cs="Times New Roman"/>
          <w:szCs w:val="21"/>
        </w:rPr>
        <w:t>。</w:t>
      </w:r>
    </w:p>
    <w:p w:rsidR="0088777F" w:rsidRPr="00DD2E11" w:rsidRDefault="0088777F" w:rsidP="00DD2E11">
      <w:pPr>
        <w:tabs>
          <w:tab w:val="left" w:pos="7655"/>
        </w:tabs>
        <w:spacing w:line="300" w:lineRule="auto"/>
        <w:ind w:left="316" w:hangingChars="150" w:hanging="316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DD2E11">
        <w:rPr>
          <w:rFonts w:ascii="Times New Roman" w:eastAsia="宋体" w:hAnsi="Times New Roman" w:cs="Times New Roman"/>
          <w:b/>
          <w:bCs/>
          <w:szCs w:val="21"/>
        </w:rPr>
        <w:t>【学习过程】</w:t>
      </w:r>
    </w:p>
    <w:p w:rsidR="008477F6" w:rsidRPr="00DD2E11" w:rsidRDefault="00A344EE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>【任务一】</w:t>
      </w:r>
      <w:r w:rsidR="00001482" w:rsidRPr="00DD2E11">
        <w:rPr>
          <w:rFonts w:ascii="Times New Roman" w:eastAsia="宋体" w:hAnsi="Times New Roman" w:cs="Times New Roman"/>
        </w:rPr>
        <w:t>请</w:t>
      </w:r>
      <w:r w:rsidR="0026752B" w:rsidRPr="00DD2E11">
        <w:rPr>
          <w:rFonts w:ascii="Times New Roman" w:eastAsia="宋体" w:hAnsi="Times New Roman" w:cs="Times New Roman"/>
        </w:rPr>
        <w:t>你</w:t>
      </w:r>
      <w:r w:rsidR="00966353" w:rsidRPr="00DD2E11">
        <w:rPr>
          <w:rFonts w:ascii="Times New Roman" w:eastAsia="宋体" w:hAnsi="Times New Roman" w:cs="Times New Roman"/>
        </w:rPr>
        <w:t>尽可能收集家庭中各种各样的物质以及可代替化学仪器的家庭用品</w:t>
      </w:r>
      <w:r w:rsidR="008477F6" w:rsidRPr="00DD2E11">
        <w:rPr>
          <w:rFonts w:ascii="Times New Roman" w:eastAsia="宋体" w:hAnsi="Times New Roman" w:cs="Times New Roman"/>
        </w:rPr>
        <w:t>，并结合生活常识或通过阅读标签，想一想你所选择的物质可以替代我们学过</w:t>
      </w:r>
      <w:r w:rsidR="005D5559" w:rsidRPr="00DD2E11">
        <w:rPr>
          <w:rFonts w:ascii="Times New Roman" w:eastAsia="宋体" w:hAnsi="Times New Roman" w:cs="Times New Roman"/>
        </w:rPr>
        <w:t>的</w:t>
      </w:r>
      <w:r w:rsidR="008477F6" w:rsidRPr="00DD2E11">
        <w:rPr>
          <w:rFonts w:ascii="Times New Roman" w:eastAsia="宋体" w:hAnsi="Times New Roman" w:cs="Times New Roman"/>
        </w:rPr>
        <w:t>哪些化学物质</w:t>
      </w:r>
      <w:r w:rsidR="005D5559" w:rsidRPr="00DD2E11">
        <w:rPr>
          <w:rFonts w:ascii="Times New Roman" w:eastAsia="宋体" w:hAnsi="Times New Roman" w:cs="Times New Roman"/>
        </w:rPr>
        <w:t>？</w:t>
      </w:r>
    </w:p>
    <w:p w:rsidR="008477F6" w:rsidRPr="00DD2E11" w:rsidRDefault="008477F6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8477F6" w:rsidRPr="00DD2E11" w:rsidRDefault="008477F6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8477F6" w:rsidRPr="00DD2E11" w:rsidRDefault="008477F6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>【任务二】</w:t>
      </w:r>
      <w:r w:rsidR="00B6680C" w:rsidRPr="00DD2E11">
        <w:rPr>
          <w:rFonts w:ascii="Times New Roman" w:eastAsia="宋体" w:hAnsi="Times New Roman" w:cs="Times New Roman"/>
        </w:rPr>
        <w:t>回顾物质分类的方法，判断下列物质的</w:t>
      </w:r>
      <w:r w:rsidR="0026752B" w:rsidRPr="00DD2E11">
        <w:rPr>
          <w:rFonts w:ascii="Times New Roman" w:eastAsia="宋体" w:hAnsi="Times New Roman" w:cs="Times New Roman"/>
        </w:rPr>
        <w:t>类别</w:t>
      </w:r>
      <w:r w:rsidR="00B6680C" w:rsidRPr="00DD2E11">
        <w:rPr>
          <w:rFonts w:ascii="Times New Roman" w:eastAsia="宋体" w:hAnsi="Times New Roman" w:cs="Times New Roman"/>
        </w:rPr>
        <w:t>。</w:t>
      </w:r>
    </w:p>
    <w:p w:rsidR="00DD2E11" w:rsidRDefault="00B6680C" w:rsidP="00DD2E11">
      <w:pPr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  <w:b/>
          <w:bCs/>
        </w:rPr>
      </w:pPr>
      <w:r w:rsidRPr="00DD2E11">
        <w:rPr>
          <w:rFonts w:ascii="Times New Roman" w:eastAsia="宋体" w:hAnsi="Times New Roman" w:cs="Times New Roman"/>
        </w:rPr>
        <w:t>（</w:t>
      </w:r>
      <w:r w:rsidRPr="00DD2E11">
        <w:rPr>
          <w:rFonts w:ascii="Times New Roman" w:eastAsia="宋体" w:hAnsi="Times New Roman" w:cs="Times New Roman"/>
        </w:rPr>
        <w:t>1</w:t>
      </w:r>
      <w:r w:rsidRPr="00DD2E11">
        <w:rPr>
          <w:rFonts w:ascii="Times New Roman" w:eastAsia="宋体" w:hAnsi="Times New Roman" w:cs="Times New Roman"/>
        </w:rPr>
        <w:t>）</w:t>
      </w:r>
      <w:r w:rsidRPr="00DD2E11">
        <w:rPr>
          <w:rFonts w:ascii="Times New Roman" w:eastAsia="宋体" w:hAnsi="Times New Roman" w:cs="Times New Roman"/>
          <w:b/>
          <w:bCs/>
        </w:rPr>
        <w:t>物质：盐酸、水、食盐、矿泉水、</w:t>
      </w:r>
      <w:r w:rsidRPr="00DD2E11">
        <w:rPr>
          <w:rFonts w:ascii="Times New Roman" w:eastAsia="宋体" w:hAnsi="Times New Roman" w:cs="Times New Roman"/>
          <w:b/>
          <w:bCs/>
        </w:rPr>
        <w:t>CaCO</w:t>
      </w:r>
      <w:r w:rsidRPr="00DD2E11">
        <w:rPr>
          <w:rFonts w:ascii="Times New Roman" w:eastAsia="宋体" w:hAnsi="Times New Roman" w:cs="Times New Roman"/>
          <w:b/>
          <w:bCs/>
          <w:vertAlign w:val="subscript"/>
        </w:rPr>
        <w:t>3</w:t>
      </w:r>
      <w:r w:rsidRPr="00DD2E11">
        <w:rPr>
          <w:rFonts w:ascii="Times New Roman" w:eastAsia="宋体" w:hAnsi="Times New Roman" w:cs="Times New Roman"/>
          <w:b/>
          <w:bCs/>
        </w:rPr>
        <w:t>、</w:t>
      </w:r>
      <w:r w:rsidRPr="00DD2E11">
        <w:rPr>
          <w:rFonts w:ascii="Times New Roman" w:eastAsia="宋体" w:hAnsi="Times New Roman" w:cs="Times New Roman"/>
          <w:b/>
          <w:bCs/>
        </w:rPr>
        <w:t xml:space="preserve"> </w:t>
      </w:r>
      <w:r w:rsidRPr="00DD2E11">
        <w:rPr>
          <w:rFonts w:ascii="Times New Roman" w:eastAsia="宋体" w:hAnsi="Times New Roman" w:cs="Times New Roman"/>
          <w:b/>
          <w:bCs/>
        </w:rPr>
        <w:t>生石灰、</w:t>
      </w:r>
      <w:r w:rsidRPr="00DD2E11">
        <w:rPr>
          <w:rFonts w:ascii="Times New Roman" w:eastAsia="宋体" w:hAnsi="Times New Roman" w:cs="Times New Roman"/>
          <w:b/>
          <w:bCs/>
        </w:rPr>
        <w:t xml:space="preserve"> </w:t>
      </w:r>
      <w:r w:rsidRPr="00DD2E11">
        <w:rPr>
          <w:rFonts w:ascii="Times New Roman" w:eastAsia="宋体" w:hAnsi="Times New Roman" w:cs="Times New Roman"/>
          <w:b/>
          <w:bCs/>
        </w:rPr>
        <w:t>纯碱、小苏打、</w:t>
      </w:r>
    </w:p>
    <w:p w:rsidR="00B6680C" w:rsidRPr="00DD2E11" w:rsidRDefault="00B6680C" w:rsidP="00DD2E11">
      <w:pPr>
        <w:adjustRightInd w:val="0"/>
        <w:spacing w:line="300" w:lineRule="auto"/>
        <w:ind w:firstLineChars="600" w:firstLine="1265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  <w:b/>
          <w:bCs/>
        </w:rPr>
        <w:t>铁、</w:t>
      </w:r>
      <w:proofErr w:type="spellStart"/>
      <w:r w:rsidRPr="00DD2E11">
        <w:rPr>
          <w:rFonts w:ascii="Times New Roman" w:eastAsia="宋体" w:hAnsi="Times New Roman" w:cs="Times New Roman"/>
          <w:b/>
          <w:bCs/>
        </w:rPr>
        <w:t>NaOH</w:t>
      </w:r>
      <w:proofErr w:type="spellEnd"/>
      <w:r w:rsidRPr="00DD2E11">
        <w:rPr>
          <w:rFonts w:ascii="Times New Roman" w:eastAsia="宋体" w:hAnsi="Times New Roman" w:cs="Times New Roman"/>
          <w:b/>
          <w:bCs/>
        </w:rPr>
        <w:t>、</w:t>
      </w:r>
      <w:r w:rsidRPr="00DD2E11">
        <w:rPr>
          <w:rFonts w:ascii="Times New Roman" w:eastAsia="宋体" w:hAnsi="Times New Roman" w:cs="Times New Roman"/>
          <w:b/>
          <w:bCs/>
        </w:rPr>
        <w:t>Ca(OH)</w:t>
      </w:r>
      <w:r w:rsidRPr="00DD2E11">
        <w:rPr>
          <w:rFonts w:ascii="Times New Roman" w:eastAsia="宋体" w:hAnsi="Times New Roman" w:cs="Times New Roman"/>
          <w:b/>
          <w:bCs/>
          <w:vertAlign w:val="subscript"/>
        </w:rPr>
        <w:t>2</w:t>
      </w: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 xml:space="preserve">      </w:t>
      </w: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B6680C" w:rsidRPr="00DD2E11" w:rsidRDefault="00B6680C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966353" w:rsidRPr="00DD2E11" w:rsidRDefault="00B6680C" w:rsidP="00DD2E11">
      <w:pPr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>（</w:t>
      </w:r>
      <w:r w:rsidRPr="00DD2E11">
        <w:rPr>
          <w:rFonts w:ascii="Times New Roman" w:eastAsia="宋体" w:hAnsi="Times New Roman" w:cs="Times New Roman"/>
        </w:rPr>
        <w:t>2</w:t>
      </w:r>
      <w:r w:rsidRPr="00DD2E11">
        <w:rPr>
          <w:rFonts w:ascii="Times New Roman" w:eastAsia="宋体" w:hAnsi="Times New Roman" w:cs="Times New Roman"/>
        </w:rPr>
        <w:t>）利用物质分类的思维导图</w:t>
      </w:r>
      <w:r w:rsidR="00966353" w:rsidRPr="00DD2E11">
        <w:rPr>
          <w:rFonts w:ascii="Times New Roman" w:eastAsia="宋体" w:hAnsi="Times New Roman" w:cs="Times New Roman"/>
        </w:rPr>
        <w:t>，将所收集到的物质进行分类摆放或存储。</w:t>
      </w:r>
    </w:p>
    <w:p w:rsidR="00A966DB" w:rsidRPr="00DD2E11" w:rsidRDefault="00A966DB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 xml:space="preserve"> </w:t>
      </w:r>
    </w:p>
    <w:p w:rsidR="007A0369" w:rsidRPr="00DD2E11" w:rsidRDefault="00A344EE" w:rsidP="00DD2E11">
      <w:pPr>
        <w:spacing w:line="300" w:lineRule="auto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>【任务</w:t>
      </w:r>
      <w:r w:rsidR="008477F6" w:rsidRPr="00DD2E11">
        <w:rPr>
          <w:rFonts w:ascii="Times New Roman" w:eastAsia="宋体" w:hAnsi="Times New Roman" w:cs="Times New Roman"/>
        </w:rPr>
        <w:t>三</w:t>
      </w:r>
      <w:r w:rsidRPr="00DD2E11">
        <w:rPr>
          <w:rFonts w:ascii="Times New Roman" w:eastAsia="宋体" w:hAnsi="Times New Roman" w:cs="Times New Roman"/>
        </w:rPr>
        <w:t>】</w:t>
      </w:r>
      <w:r w:rsidR="00B6680C" w:rsidRPr="00DD2E11">
        <w:rPr>
          <w:rFonts w:ascii="Times New Roman" w:eastAsia="宋体" w:hAnsi="Times New Roman" w:cs="Times New Roman"/>
        </w:rPr>
        <w:t>梳理物质的俗称，完成表格中的内容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909"/>
        <w:gridCol w:w="2202"/>
        <w:gridCol w:w="1825"/>
      </w:tblGrid>
      <w:tr w:rsidR="008477F6" w:rsidRPr="00DD2E11" w:rsidTr="00B6680C">
        <w:trPr>
          <w:trHeight w:val="384"/>
        </w:trPr>
        <w:tc>
          <w:tcPr>
            <w:tcW w:w="2126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化学名称或俗称</w:t>
            </w:r>
          </w:p>
        </w:tc>
        <w:tc>
          <w:tcPr>
            <w:tcW w:w="1909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化学式</w:t>
            </w:r>
          </w:p>
        </w:tc>
        <w:tc>
          <w:tcPr>
            <w:tcW w:w="2202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化学名称或俗称</w:t>
            </w:r>
          </w:p>
        </w:tc>
        <w:tc>
          <w:tcPr>
            <w:tcW w:w="1825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化学式</w:t>
            </w:r>
          </w:p>
        </w:tc>
      </w:tr>
      <w:tr w:rsidR="008477F6" w:rsidRPr="00DD2E11" w:rsidTr="00B6680C">
        <w:trPr>
          <w:trHeight w:val="384"/>
        </w:trPr>
        <w:tc>
          <w:tcPr>
            <w:tcW w:w="2126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9" w:type="dxa"/>
          </w:tcPr>
          <w:p w:rsidR="008477F6" w:rsidRPr="00DD2E11" w:rsidRDefault="00B6680C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D2E11">
              <w:rPr>
                <w:rFonts w:ascii="Times New Roman" w:eastAsia="宋体" w:hAnsi="Times New Roman" w:cs="Times New Roman"/>
                <w:sz w:val="21"/>
                <w:szCs w:val="21"/>
              </w:rPr>
              <w:t>NaOH</w:t>
            </w:r>
          </w:p>
        </w:tc>
        <w:tc>
          <w:tcPr>
            <w:tcW w:w="2202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25" w:type="dxa"/>
          </w:tcPr>
          <w:p w:rsidR="008477F6" w:rsidRPr="00DD2E11" w:rsidRDefault="00B6680C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D2E11">
              <w:rPr>
                <w:rFonts w:ascii="Times New Roman" w:eastAsia="宋体" w:hAnsi="Times New Roman" w:cs="Times New Roman"/>
                <w:sz w:val="21"/>
                <w:szCs w:val="21"/>
              </w:rPr>
              <w:t>Ca(OH)</w:t>
            </w:r>
            <w:r w:rsidRPr="00DD2E11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</w:tr>
      <w:tr w:rsidR="008477F6" w:rsidRPr="00DD2E11" w:rsidTr="00B6680C">
        <w:trPr>
          <w:trHeight w:val="384"/>
        </w:trPr>
        <w:tc>
          <w:tcPr>
            <w:tcW w:w="2126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食盐</w:t>
            </w:r>
          </w:p>
        </w:tc>
        <w:tc>
          <w:tcPr>
            <w:tcW w:w="1909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02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D2E11">
              <w:rPr>
                <w:rFonts w:ascii="Times New Roman" w:eastAsia="宋体" w:hAnsi="Times New Roman" w:cs="Times New Roman"/>
                <w:sz w:val="21"/>
                <w:szCs w:val="21"/>
              </w:rPr>
              <w:t>纯碱、苏打</w:t>
            </w:r>
          </w:p>
        </w:tc>
        <w:tc>
          <w:tcPr>
            <w:tcW w:w="1825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8477F6" w:rsidRPr="00DD2E11" w:rsidTr="00B6680C">
        <w:trPr>
          <w:trHeight w:val="384"/>
        </w:trPr>
        <w:tc>
          <w:tcPr>
            <w:tcW w:w="2126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小苏打</w:t>
            </w:r>
          </w:p>
        </w:tc>
        <w:tc>
          <w:tcPr>
            <w:tcW w:w="1909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2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D2E11">
              <w:rPr>
                <w:rFonts w:ascii="Times New Roman" w:eastAsia="宋体" w:hAnsi="Times New Roman" w:cs="Times New Roman"/>
              </w:rPr>
              <w:t>石灰石、大理石</w:t>
            </w:r>
          </w:p>
        </w:tc>
        <w:tc>
          <w:tcPr>
            <w:tcW w:w="1825" w:type="dxa"/>
          </w:tcPr>
          <w:p w:rsidR="008477F6" w:rsidRPr="00DD2E11" w:rsidRDefault="008477F6" w:rsidP="00DD2E1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450480" w:rsidRPr="00DD2E11" w:rsidRDefault="00450480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p w:rsidR="007A0369" w:rsidRPr="00DD2E11" w:rsidRDefault="007A0369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B5E1" wp14:editId="6CCC6FCC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675630" cy="1416050"/>
                <wp:effectExtent l="0" t="0" r="20320" b="12700"/>
                <wp:wrapSquare wrapText="bothSides"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563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344EE" w:rsidRPr="00610138" w:rsidRDefault="00A344EE" w:rsidP="00A344EE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610138">
                              <w:rPr>
                                <w:rFonts w:ascii="宋体" w:eastAsia="宋体" w:hAnsi="宋体" w:hint="eastAsia"/>
                              </w:rPr>
                              <w:t>实验方案（可配图说明）：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F0E817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95.7pt;margin-top:45.75pt;width:446.9pt;height:11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">
                <v:path arrowok="t"/>
                <v:textbox>
                  <w:txbxContent>
                    <w:p w:rsidR="00A344EE" w:rsidRPr="00610138" w:rsidRDefault="00A344EE" w:rsidP="00A344EE">
                      <w:pPr>
                        <w:rPr>
                          <w:rFonts w:ascii="宋体" w:eastAsia="宋体" w:hAnsi="宋体"/>
                        </w:rPr>
                      </w:pPr>
                      <w:r w:rsidRPr="00610138">
                        <w:rPr>
                          <w:rFonts w:ascii="宋体" w:eastAsia="宋体" w:hAnsi="宋体" w:hint="eastAsia"/>
                        </w:rPr>
                        <w:t>实验方案（可配图说明）：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2E11">
        <w:rPr>
          <w:rFonts w:ascii="Times New Roman" w:eastAsia="宋体" w:hAnsi="Times New Roman" w:cs="Times New Roman"/>
        </w:rPr>
        <w:t>【任务</w:t>
      </w:r>
      <w:r w:rsidR="00384AD7" w:rsidRPr="00DD2E11">
        <w:rPr>
          <w:rFonts w:ascii="Times New Roman" w:eastAsia="宋体" w:hAnsi="Times New Roman" w:cs="Times New Roman"/>
        </w:rPr>
        <w:t>四</w:t>
      </w:r>
      <w:r w:rsidRPr="00DD2E11">
        <w:rPr>
          <w:rFonts w:ascii="Times New Roman" w:eastAsia="宋体" w:hAnsi="Times New Roman" w:cs="Times New Roman"/>
        </w:rPr>
        <w:t>】</w:t>
      </w:r>
      <w:r w:rsidR="00B6680C" w:rsidRPr="00DD2E11">
        <w:rPr>
          <w:rFonts w:ascii="Times New Roman" w:eastAsia="宋体" w:hAnsi="Times New Roman" w:cs="Times New Roman"/>
        </w:rPr>
        <w:t>探究三种蔬菜汁是否能替代石蕊溶液，做生活中的酸碱指示剂</w:t>
      </w:r>
    </w:p>
    <w:p w:rsidR="001752A8" w:rsidRPr="00DD2E11" w:rsidRDefault="007A0369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 xml:space="preserve"> </w:t>
      </w:r>
      <w:r w:rsidR="00610138" w:rsidRPr="00DD2E11">
        <w:rPr>
          <w:rFonts w:ascii="Times New Roman" w:eastAsia="宋体" w:hAnsi="Times New Roman" w:cs="Times New Roman"/>
        </w:rPr>
        <w:t>请同学们自选家庭实验室中的药品，设计实验进行探究，并以紫甘蓝为例进行步骤的阐述。</w:t>
      </w:r>
    </w:p>
    <w:p w:rsidR="001752A8" w:rsidRPr="00DD2E11" w:rsidRDefault="001752A8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 xml:space="preserve">       </w:t>
      </w:r>
    </w:p>
    <w:p w:rsidR="00A344EE" w:rsidRPr="00DD2E11" w:rsidRDefault="00A344EE" w:rsidP="00DD2E11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DD2E11">
        <w:rPr>
          <w:rFonts w:ascii="Times New Roman" w:eastAsia="宋体" w:hAnsi="Times New Roman" w:cs="Times New Roman"/>
        </w:rPr>
        <w:t>【任务</w:t>
      </w:r>
      <w:r w:rsidR="00384AD7" w:rsidRPr="00DD2E11">
        <w:rPr>
          <w:rFonts w:ascii="Times New Roman" w:eastAsia="宋体" w:hAnsi="Times New Roman" w:cs="Times New Roman"/>
        </w:rPr>
        <w:t>五</w:t>
      </w:r>
      <w:r w:rsidRPr="00DD2E11">
        <w:rPr>
          <w:rFonts w:ascii="Times New Roman" w:eastAsia="宋体" w:hAnsi="Times New Roman" w:cs="Times New Roman"/>
        </w:rPr>
        <w:t>】</w:t>
      </w:r>
      <w:r w:rsidR="00384AD7" w:rsidRPr="00DD2E11">
        <w:rPr>
          <w:rFonts w:ascii="Times New Roman" w:eastAsia="宋体" w:hAnsi="Times New Roman" w:cs="Times New Roman"/>
        </w:rPr>
        <w:t>结合溶液酸碱性测定的两种方法，</w:t>
      </w:r>
      <w:r w:rsidR="00450480" w:rsidRPr="00DD2E11">
        <w:rPr>
          <w:rFonts w:ascii="Times New Roman" w:eastAsia="宋体" w:hAnsi="Times New Roman" w:cs="Times New Roman"/>
        </w:rPr>
        <w:t>谈一谈你对科学研究的认识</w:t>
      </w:r>
      <w:r w:rsidR="00384AD7" w:rsidRPr="00DD2E11">
        <w:rPr>
          <w:rFonts w:ascii="Times New Roman" w:eastAsia="宋体" w:hAnsi="Times New Roman" w:cs="Times New Roman"/>
        </w:rPr>
        <w:t>。</w:t>
      </w:r>
    </w:p>
    <w:p w:rsidR="00450480" w:rsidRPr="00DD2E11" w:rsidRDefault="00450480" w:rsidP="00DD2E11">
      <w:pPr>
        <w:adjustRightInd w:val="0"/>
        <w:spacing w:line="300" w:lineRule="auto"/>
        <w:jc w:val="left"/>
        <w:rPr>
          <w:rFonts w:ascii="Times New Roman" w:eastAsia="宋体" w:hAnsi="Times New Roman" w:cs="Times New Roman"/>
        </w:rPr>
      </w:pPr>
    </w:p>
    <w:sectPr w:rsidR="00450480" w:rsidRPr="00DD2E11" w:rsidSect="007A0369">
      <w:headerReference w:type="default" r:id="rId7"/>
      <w:pgSz w:w="11900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F0" w:rsidRDefault="009F6CF0" w:rsidP="00001482">
      <w:r>
        <w:separator/>
      </w:r>
    </w:p>
  </w:endnote>
  <w:endnote w:type="continuationSeparator" w:id="0">
    <w:p w:rsidR="009F6CF0" w:rsidRDefault="009F6CF0" w:rsidP="000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F0" w:rsidRDefault="009F6CF0" w:rsidP="00001482">
      <w:r>
        <w:separator/>
      </w:r>
    </w:p>
  </w:footnote>
  <w:footnote w:type="continuationSeparator" w:id="0">
    <w:p w:rsidR="009F6CF0" w:rsidRDefault="009F6CF0" w:rsidP="0000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BB" w:rsidRPr="00D240BB" w:rsidRDefault="00D240BB">
    <w:pPr>
      <w:pStyle w:val="a5"/>
      <w:rPr>
        <w:rFonts w:ascii="楷体" w:eastAsia="楷体" w:hAnsi="楷体"/>
      </w:rPr>
    </w:pPr>
    <w:r w:rsidRPr="00D240BB">
      <w:rPr>
        <w:rFonts w:ascii="楷体" w:eastAsia="楷体" w:hAnsi="楷体" w:hint="eastAsia"/>
      </w:rPr>
      <w:t>九年级化学</w:t>
    </w:r>
    <w:r w:rsidRPr="00D240BB">
      <w:rPr>
        <w:rFonts w:ascii="楷体" w:eastAsia="楷体" w:hAnsi="楷体" w:hint="eastAsia"/>
      </w:rPr>
      <w:ptab w:relativeTo="margin" w:alignment="center" w:leader="none"/>
    </w:r>
    <w:r w:rsidRPr="00D240BB">
      <w:rPr>
        <w:rFonts w:ascii="楷体" w:eastAsia="楷体" w:hAnsi="楷体" w:hint="eastAsia"/>
      </w:rPr>
      <w:t>学习任务单</w:t>
    </w:r>
    <w:r w:rsidRPr="00D240BB">
      <w:rPr>
        <w:rFonts w:ascii="楷体" w:eastAsia="楷体" w:hAnsi="楷体"/>
      </w:rPr>
      <w:ptab w:relativeTo="margin" w:alignment="right" w:leader="none"/>
    </w:r>
    <w:r w:rsidRPr="00D240BB">
      <w:rPr>
        <w:rFonts w:ascii="楷体" w:eastAsia="楷体" w:hAnsi="楷体" w:hint="eastAsia"/>
      </w:rPr>
      <w:t>第四周第1</w:t>
    </w:r>
    <w:r w:rsidRPr="00D240BB">
      <w:rPr>
        <w:rFonts w:ascii="楷体" w:eastAsia="楷体" w:hAnsi="楷体"/>
      </w:rPr>
      <w:t>5</w:t>
    </w:r>
    <w:r w:rsidRPr="00D240B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01482"/>
    <w:rsid w:val="001752A8"/>
    <w:rsid w:val="0026752B"/>
    <w:rsid w:val="00360A5A"/>
    <w:rsid w:val="003625BE"/>
    <w:rsid w:val="00384AD7"/>
    <w:rsid w:val="003B450C"/>
    <w:rsid w:val="003F3E8E"/>
    <w:rsid w:val="00450480"/>
    <w:rsid w:val="004C777C"/>
    <w:rsid w:val="004E5401"/>
    <w:rsid w:val="005323A0"/>
    <w:rsid w:val="0054390B"/>
    <w:rsid w:val="005D5559"/>
    <w:rsid w:val="00610138"/>
    <w:rsid w:val="0070046B"/>
    <w:rsid w:val="007A0369"/>
    <w:rsid w:val="00834ADA"/>
    <w:rsid w:val="008477F6"/>
    <w:rsid w:val="0088777F"/>
    <w:rsid w:val="00966353"/>
    <w:rsid w:val="009F6CF0"/>
    <w:rsid w:val="00A06C5A"/>
    <w:rsid w:val="00A344EE"/>
    <w:rsid w:val="00A76138"/>
    <w:rsid w:val="00A966DB"/>
    <w:rsid w:val="00B6680C"/>
    <w:rsid w:val="00BE1F75"/>
    <w:rsid w:val="00C129F4"/>
    <w:rsid w:val="00C91913"/>
    <w:rsid w:val="00D240BB"/>
    <w:rsid w:val="00DB091A"/>
    <w:rsid w:val="00DD2E11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0A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00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0A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00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29</cp:revision>
  <dcterms:created xsi:type="dcterms:W3CDTF">2020-01-30T09:25:00Z</dcterms:created>
  <dcterms:modified xsi:type="dcterms:W3CDTF">2020-02-18T02:28:00Z</dcterms:modified>
</cp:coreProperties>
</file>