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0330" w:rsidRDefault="006C08EA">
      <w:pPr>
        <w:spacing w:line="240" w:lineRule="atLeast"/>
        <w:jc w:val="center"/>
        <w:rPr>
          <w:rFonts w:ascii="宋体" w:eastAsia="宋体" w:hAnsi="宋体" w:cs="Times New Roman"/>
          <w:b/>
          <w:color w:val="000000"/>
          <w:sz w:val="30"/>
          <w:szCs w:val="30"/>
        </w:rPr>
      </w:pPr>
      <w:r>
        <w:rPr>
          <w:rFonts w:ascii="宋体" w:eastAsia="宋体" w:hAnsi="宋体" w:cs="Times New Roman" w:hint="eastAsia"/>
          <w:b/>
          <w:color w:val="000000"/>
          <w:sz w:val="30"/>
          <w:szCs w:val="30"/>
        </w:rPr>
        <w:t>高二年级政治</w:t>
      </w:r>
      <w:r w:rsidR="0048618B" w:rsidRPr="0048618B">
        <w:rPr>
          <w:rFonts w:ascii="宋体" w:eastAsia="宋体" w:hAnsi="宋体" w:cs="Times New Roman" w:hint="eastAsia"/>
          <w:b/>
          <w:color w:val="000000"/>
          <w:sz w:val="30"/>
          <w:szCs w:val="30"/>
        </w:rPr>
        <w:t>第13课时《投资理财的选择》</w:t>
      </w:r>
      <w:r>
        <w:rPr>
          <w:rFonts w:ascii="宋体" w:eastAsia="宋体" w:hAnsi="宋体" w:cs="Times New Roman" w:hint="eastAsia"/>
          <w:b/>
          <w:color w:val="000000"/>
          <w:sz w:val="30"/>
          <w:szCs w:val="30"/>
        </w:rPr>
        <w:t>复习要点</w:t>
      </w:r>
    </w:p>
    <w:p w:rsidR="00580330" w:rsidRDefault="006C08EA">
      <w:pPr>
        <w:spacing w:line="240" w:lineRule="atLeast"/>
        <w:jc w:val="center"/>
        <w:rPr>
          <w:rFonts w:ascii="宋体" w:eastAsia="宋体" w:hAnsi="宋体" w:cs="Times New Roman"/>
          <w:b/>
          <w:color w:val="000000"/>
          <w:sz w:val="30"/>
          <w:szCs w:val="30"/>
        </w:rPr>
      </w:pPr>
      <w:r>
        <w:rPr>
          <w:rFonts w:ascii="宋体" w:eastAsia="宋体" w:hAnsi="宋体" w:cs="Times New Roman" w:hint="eastAsia"/>
          <w:b/>
          <w:color w:val="000000"/>
          <w:sz w:val="30"/>
          <w:szCs w:val="30"/>
        </w:rPr>
        <w:t>课后作业——完成1</w:t>
      </w:r>
      <w:r>
        <w:rPr>
          <w:rFonts w:ascii="宋体" w:eastAsia="宋体" w:hAnsi="宋体" w:cs="Times New Roman"/>
          <w:b/>
          <w:color w:val="000000"/>
          <w:sz w:val="30"/>
          <w:szCs w:val="30"/>
        </w:rPr>
        <w:t>0</w:t>
      </w:r>
      <w:r>
        <w:rPr>
          <w:rFonts w:ascii="宋体" w:eastAsia="宋体" w:hAnsi="宋体" w:cs="Times New Roman" w:hint="eastAsia"/>
          <w:b/>
          <w:color w:val="000000"/>
          <w:sz w:val="30"/>
          <w:szCs w:val="30"/>
        </w:rPr>
        <w:t>道单项选择题</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1.</w:t>
      </w:r>
      <w:r w:rsidRPr="009628C2">
        <w:rPr>
          <w:rFonts w:hint="eastAsia"/>
        </w:rPr>
        <w:t xml:space="preserve"> </w:t>
      </w:r>
      <w:r w:rsidRPr="009628C2">
        <w:rPr>
          <w:rFonts w:ascii="宋体" w:eastAsia="宋体" w:hAnsi="宋体" w:hint="eastAsia"/>
          <w:szCs w:val="21"/>
        </w:rPr>
        <w:t>（2014北京文综）债券利率受到风险的影响，当风险下降时，债券利率降低。小华准备购买某企业新发行的债券，通过查询该企业近几期债券的利率，绘制了右图。相对于稳定的国债利率，该企业债券</w:t>
      </w:r>
      <w:r>
        <w:rPr>
          <w:noProof/>
          <w:kern w:val="0"/>
          <w:sz w:val="20"/>
          <w:szCs w:val="20"/>
        </w:rPr>
        <w:drawing>
          <wp:anchor distT="0" distB="0" distL="114300" distR="114300" simplePos="0" relativeHeight="251657216" behindDoc="0" locked="0" layoutInCell="1" allowOverlap="0" wp14:anchorId="79B81A46" wp14:editId="26D4D975">
            <wp:simplePos x="0" y="0"/>
            <wp:positionH relativeFrom="margin">
              <wp:posOffset>3565525</wp:posOffset>
            </wp:positionH>
            <wp:positionV relativeFrom="line">
              <wp:posOffset>36830</wp:posOffset>
            </wp:positionV>
            <wp:extent cx="2466975" cy="1363345"/>
            <wp:effectExtent l="0" t="0" r="0" b="0"/>
            <wp:wrapSquare wrapText="bothSides"/>
            <wp:docPr id="5" name="图片 5" descr="C:\Users\ADMINI~1\AppData\Local\Temp\ksohtml115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1156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8C2">
        <w:rPr>
          <w:rFonts w:ascii="宋体" w:eastAsia="宋体" w:hAnsi="宋体" w:hint="eastAsia"/>
          <w:szCs w:val="21"/>
        </w:rPr>
        <w:t>利率从第2期到第3期下降的原因可能是</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A．国际原油价格上涨，企业运输成本上升</w:t>
      </w:r>
      <w:r w:rsidRPr="009628C2">
        <w:rPr>
          <w:rFonts w:ascii="宋体" w:eastAsia="宋体" w:hAnsi="宋体" w:hint="eastAsia"/>
          <w:szCs w:val="21"/>
        </w:rPr>
        <w:tab/>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B．新产品受市场欢迎，企业经济效益提高</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C．面临高额关税，企业国际市场份额下滑</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D．海外投资失误，企业债务负担大幅增加</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2.</w:t>
      </w:r>
      <w:r w:rsidRPr="009628C2">
        <w:rPr>
          <w:rFonts w:hint="eastAsia"/>
        </w:rPr>
        <w:t xml:space="preserve"> </w:t>
      </w:r>
      <w:r w:rsidRPr="009628C2">
        <w:rPr>
          <w:rFonts w:ascii="宋体" w:eastAsia="宋体" w:hAnsi="宋体" w:hint="eastAsia"/>
          <w:szCs w:val="21"/>
        </w:rPr>
        <w:t>（2016全国1）2015年8月，国务院批复的《基本养老保险基金投资管理办法》规定，养老基金在投资国债、银行债券等债权性资产的同时，可以投资股票、股票基金，但投资股票等权益类资产的比重不超过30%。上述规定的主要目的是</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A.增强资本流动性，平抑资本市场的波动    B.扩大投资渠道，实现投资收益的最大化</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C.优化投资组合，追求收益与风险的平衡    D.提高投资安全性，促进资本市场的增长</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3.</w:t>
      </w:r>
      <w:r w:rsidRPr="009628C2">
        <w:rPr>
          <w:rFonts w:hint="eastAsia"/>
        </w:rPr>
        <w:t xml:space="preserve"> </w:t>
      </w:r>
      <w:r w:rsidRPr="009628C2">
        <w:rPr>
          <w:rFonts w:ascii="宋体" w:eastAsia="宋体" w:hAnsi="宋体" w:hint="eastAsia"/>
          <w:szCs w:val="21"/>
        </w:rPr>
        <w:t>（</w:t>
      </w:r>
      <w:r>
        <w:rPr>
          <w:rFonts w:ascii="宋体" w:eastAsia="宋体" w:hAnsi="宋体" w:hint="eastAsia"/>
          <w:szCs w:val="21"/>
        </w:rPr>
        <w:t>2017</w:t>
      </w:r>
      <w:r w:rsidRPr="009628C2">
        <w:rPr>
          <w:rFonts w:ascii="宋体" w:eastAsia="宋体" w:hAnsi="宋体" w:hint="eastAsia"/>
          <w:szCs w:val="21"/>
        </w:rPr>
        <w:t>全国卷</w:t>
      </w:r>
      <w:r>
        <w:rPr>
          <w:rFonts w:ascii="宋体" w:eastAsia="宋体" w:hAnsi="宋体" w:hint="eastAsia"/>
          <w:szCs w:val="21"/>
        </w:rPr>
        <w:t>1</w:t>
      </w:r>
      <w:r w:rsidRPr="009628C2">
        <w:rPr>
          <w:rFonts w:ascii="宋体" w:eastAsia="宋体" w:hAnsi="宋体" w:hint="eastAsia"/>
          <w:szCs w:val="21"/>
        </w:rPr>
        <w:t>）2016年9月，某省探索发行易地扶贫搬迁债券，用于弥补国家级扶贫工作重点县的资金缺口。该债券首期额度5亿元，社会资本认购高达35亿元。以发行债券方式支持扶贫，可以</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A.</w:t>
      </w:r>
      <w:proofErr w:type="gramStart"/>
      <w:r w:rsidRPr="009628C2">
        <w:rPr>
          <w:rFonts w:ascii="宋体" w:eastAsia="宋体" w:hAnsi="宋体" w:hint="eastAsia"/>
          <w:szCs w:val="21"/>
        </w:rPr>
        <w:t>扩大扶贫</w:t>
      </w:r>
      <w:proofErr w:type="gramEnd"/>
      <w:r w:rsidRPr="009628C2">
        <w:rPr>
          <w:rFonts w:ascii="宋体" w:eastAsia="宋体" w:hAnsi="宋体" w:hint="eastAsia"/>
          <w:szCs w:val="21"/>
        </w:rPr>
        <w:t>资金的使用范围          B.减少政府扶贫资金的支出</w:t>
      </w:r>
    </w:p>
    <w:p w:rsidR="003F7DF4" w:rsidRPr="009628C2" w:rsidRDefault="003F7DF4" w:rsidP="003F7DF4">
      <w:pPr>
        <w:spacing w:line="276" w:lineRule="auto"/>
        <w:rPr>
          <w:rFonts w:ascii="宋体" w:eastAsia="宋体" w:hAnsi="宋体"/>
          <w:szCs w:val="21"/>
        </w:rPr>
      </w:pPr>
      <w:r w:rsidRPr="009628C2">
        <w:rPr>
          <w:rFonts w:ascii="宋体" w:eastAsia="宋体" w:hAnsi="宋体" w:hint="eastAsia"/>
          <w:szCs w:val="21"/>
        </w:rPr>
        <w:t>C.拓宽扶贫资金的筹措渠道          D.促进扶贫资金的精准运用</w:t>
      </w:r>
    </w:p>
    <w:p w:rsidR="003F7DF4" w:rsidRPr="00D954F8" w:rsidRDefault="003F7DF4" w:rsidP="003F7DF4">
      <w:pPr>
        <w:spacing w:line="276" w:lineRule="auto"/>
        <w:rPr>
          <w:rFonts w:ascii="宋体" w:eastAsia="宋体" w:hAnsi="宋体"/>
          <w:szCs w:val="21"/>
        </w:rPr>
      </w:pPr>
      <w:r w:rsidRPr="009628C2">
        <w:rPr>
          <w:rFonts w:ascii="宋体" w:eastAsia="宋体" w:hAnsi="宋体" w:hint="eastAsia"/>
          <w:szCs w:val="21"/>
        </w:rPr>
        <w:t>4.</w:t>
      </w:r>
      <w:r w:rsidRPr="00D954F8">
        <w:rPr>
          <w:rFonts w:hint="eastAsia"/>
        </w:rPr>
        <w:t xml:space="preserve"> </w:t>
      </w:r>
      <w:r w:rsidRPr="00D954F8">
        <w:rPr>
          <w:rFonts w:ascii="宋体" w:eastAsia="宋体" w:hAnsi="宋体" w:hint="eastAsia"/>
          <w:szCs w:val="21"/>
        </w:rPr>
        <w:t xml:space="preserve">（2019 </w:t>
      </w:r>
      <w:r>
        <w:rPr>
          <w:rFonts w:ascii="宋体" w:eastAsia="宋体" w:hAnsi="宋体" w:hint="eastAsia"/>
          <w:szCs w:val="21"/>
        </w:rPr>
        <w:t>全国1</w:t>
      </w:r>
      <w:r w:rsidRPr="00D954F8">
        <w:rPr>
          <w:rFonts w:ascii="宋体" w:eastAsia="宋体" w:hAnsi="宋体" w:hint="eastAsia"/>
          <w:szCs w:val="21"/>
        </w:rPr>
        <w:t>）存款准备金是商业银行为保证客户提取存款和资金结算需要而按规定向中央银行缴存的部分存款。存款准备金占商业银行吸纳存款总额的比率就是存款准备金率。2018年以来，中国人民银行先后6次降低存款准备金率。降低存款准备金率是为了</w:t>
      </w:r>
    </w:p>
    <w:p w:rsidR="003F7DF4" w:rsidRPr="00D954F8" w:rsidRDefault="003F7DF4" w:rsidP="003F7DF4">
      <w:pPr>
        <w:spacing w:line="276" w:lineRule="auto"/>
        <w:rPr>
          <w:rFonts w:ascii="宋体" w:eastAsia="宋体" w:hAnsi="宋体"/>
          <w:szCs w:val="21"/>
        </w:rPr>
      </w:pPr>
      <w:r w:rsidRPr="00D954F8">
        <w:rPr>
          <w:rFonts w:ascii="宋体" w:eastAsia="宋体" w:hAnsi="宋体" w:hint="eastAsia"/>
          <w:szCs w:val="21"/>
        </w:rPr>
        <w:t>①加快货币流通速度，稳定物价水平</w:t>
      </w:r>
    </w:p>
    <w:p w:rsidR="003F7DF4" w:rsidRPr="00D954F8" w:rsidRDefault="003F7DF4" w:rsidP="003F7DF4">
      <w:pPr>
        <w:spacing w:line="276" w:lineRule="auto"/>
        <w:rPr>
          <w:rFonts w:ascii="宋体" w:eastAsia="宋体" w:hAnsi="宋体"/>
          <w:szCs w:val="21"/>
        </w:rPr>
      </w:pPr>
      <w:r w:rsidRPr="00D954F8">
        <w:rPr>
          <w:rFonts w:ascii="宋体" w:eastAsia="宋体" w:hAnsi="宋体" w:hint="eastAsia"/>
          <w:szCs w:val="21"/>
        </w:rPr>
        <w:t>②扩大投资及社会支出，刺激经济增长</w:t>
      </w:r>
    </w:p>
    <w:p w:rsidR="003F7DF4" w:rsidRPr="00D954F8" w:rsidRDefault="003F7DF4" w:rsidP="003F7DF4">
      <w:pPr>
        <w:spacing w:line="276" w:lineRule="auto"/>
        <w:rPr>
          <w:rFonts w:ascii="宋体" w:eastAsia="宋体" w:hAnsi="宋体"/>
          <w:szCs w:val="21"/>
        </w:rPr>
      </w:pPr>
      <w:r w:rsidRPr="00D954F8">
        <w:rPr>
          <w:rFonts w:ascii="宋体" w:eastAsia="宋体" w:hAnsi="宋体" w:hint="eastAsia"/>
          <w:szCs w:val="21"/>
        </w:rPr>
        <w:t>③满足客户资金结算需求，防范挤兑风险</w:t>
      </w:r>
    </w:p>
    <w:p w:rsidR="003F7DF4" w:rsidRPr="00D954F8" w:rsidRDefault="003F7DF4" w:rsidP="003F7DF4">
      <w:pPr>
        <w:spacing w:line="276" w:lineRule="auto"/>
        <w:rPr>
          <w:rFonts w:ascii="宋体" w:eastAsia="宋体" w:hAnsi="宋体"/>
          <w:szCs w:val="21"/>
        </w:rPr>
      </w:pPr>
      <w:r w:rsidRPr="00D954F8">
        <w:rPr>
          <w:rFonts w:ascii="宋体" w:eastAsia="宋体" w:hAnsi="宋体" w:hint="eastAsia"/>
          <w:szCs w:val="21"/>
        </w:rPr>
        <w:t>④增加信贷资金供应，提高商业银行信贷能力</w:t>
      </w:r>
    </w:p>
    <w:p w:rsidR="003F7DF4" w:rsidRPr="009628C2" w:rsidRDefault="003F7DF4" w:rsidP="003F7DF4">
      <w:pPr>
        <w:spacing w:line="276" w:lineRule="auto"/>
        <w:rPr>
          <w:rFonts w:ascii="宋体" w:eastAsia="宋体" w:hAnsi="宋体"/>
          <w:szCs w:val="21"/>
        </w:rPr>
      </w:pPr>
      <w:r w:rsidRPr="00D954F8">
        <w:rPr>
          <w:rFonts w:ascii="宋体" w:eastAsia="宋体" w:hAnsi="宋体" w:hint="eastAsia"/>
          <w:szCs w:val="21"/>
        </w:rPr>
        <w:t>A．①②</w:t>
      </w:r>
      <w:r w:rsidRPr="00D954F8">
        <w:rPr>
          <w:rFonts w:ascii="宋体" w:eastAsia="宋体" w:hAnsi="宋体" w:hint="eastAsia"/>
          <w:szCs w:val="21"/>
        </w:rPr>
        <w:tab/>
        <w:t xml:space="preserve">  B．①③</w:t>
      </w:r>
      <w:r w:rsidRPr="00D954F8">
        <w:rPr>
          <w:rFonts w:ascii="宋体" w:eastAsia="宋体" w:hAnsi="宋体" w:hint="eastAsia"/>
          <w:szCs w:val="21"/>
        </w:rPr>
        <w:tab/>
        <w:t xml:space="preserve">  C．②④</w:t>
      </w:r>
      <w:r w:rsidRPr="00D954F8">
        <w:rPr>
          <w:rFonts w:ascii="宋体" w:eastAsia="宋体" w:hAnsi="宋体" w:hint="eastAsia"/>
          <w:szCs w:val="21"/>
        </w:rPr>
        <w:tab/>
        <w:t xml:space="preserve">  D．③④</w:t>
      </w:r>
    </w:p>
    <w:p w:rsidR="003F7DF4" w:rsidRPr="00D954F8" w:rsidRDefault="003F7DF4" w:rsidP="003F7DF4">
      <w:pPr>
        <w:spacing w:line="276" w:lineRule="auto"/>
        <w:rPr>
          <w:rFonts w:ascii="宋体" w:eastAsia="宋体" w:hAnsi="宋体"/>
          <w:szCs w:val="21"/>
        </w:rPr>
      </w:pPr>
      <w:r w:rsidRPr="009628C2">
        <w:rPr>
          <w:rFonts w:ascii="宋体" w:eastAsia="宋体" w:hAnsi="宋体" w:hint="eastAsia"/>
          <w:szCs w:val="21"/>
        </w:rPr>
        <w:t>5.</w:t>
      </w:r>
      <w:r w:rsidRPr="00D954F8">
        <w:rPr>
          <w:rFonts w:hint="eastAsia"/>
        </w:rPr>
        <w:t xml:space="preserve"> </w:t>
      </w:r>
      <w:r w:rsidRPr="00D954F8">
        <w:rPr>
          <w:rFonts w:ascii="宋体" w:eastAsia="宋体" w:hAnsi="宋体" w:hint="eastAsia"/>
          <w:szCs w:val="21"/>
        </w:rPr>
        <w:t>（2019 江苏）2018年11月16日深交所宣布，因某企业违法生产、销售狂犬病疫苗，对其正式启动强制退市机制。该企业成为退市规则修订后首家因危害公共健康安全而退市的上市公司。材料表明</w:t>
      </w:r>
    </w:p>
    <w:p w:rsidR="003F7DF4" w:rsidRPr="00D954F8" w:rsidRDefault="003F7DF4" w:rsidP="003F7DF4">
      <w:pPr>
        <w:spacing w:line="276" w:lineRule="auto"/>
        <w:rPr>
          <w:rFonts w:ascii="宋体" w:eastAsia="宋体" w:hAnsi="宋体"/>
          <w:szCs w:val="21"/>
        </w:rPr>
      </w:pPr>
      <w:r w:rsidRPr="00D954F8">
        <w:rPr>
          <w:rFonts w:ascii="宋体" w:eastAsia="宋体" w:hAnsi="宋体" w:hint="eastAsia"/>
          <w:szCs w:val="21"/>
        </w:rPr>
        <w:t>①任何企业都必须诚信合法经营</w:t>
      </w:r>
    </w:p>
    <w:p w:rsidR="003F7DF4" w:rsidRPr="00D954F8" w:rsidRDefault="003F7DF4" w:rsidP="003F7DF4">
      <w:pPr>
        <w:spacing w:line="276" w:lineRule="auto"/>
        <w:rPr>
          <w:rFonts w:ascii="宋体" w:eastAsia="宋体" w:hAnsi="宋体"/>
          <w:szCs w:val="21"/>
        </w:rPr>
      </w:pPr>
      <w:r w:rsidRPr="00D954F8">
        <w:rPr>
          <w:rFonts w:ascii="宋体" w:eastAsia="宋体" w:hAnsi="宋体" w:hint="eastAsia"/>
          <w:szCs w:val="21"/>
        </w:rPr>
        <w:t>②政府主要以经济手段调控股票市场</w:t>
      </w:r>
    </w:p>
    <w:p w:rsidR="003F7DF4" w:rsidRPr="00D954F8" w:rsidRDefault="003F7DF4" w:rsidP="003F7DF4">
      <w:pPr>
        <w:spacing w:line="276" w:lineRule="auto"/>
        <w:rPr>
          <w:rFonts w:ascii="宋体" w:eastAsia="宋体" w:hAnsi="宋体"/>
          <w:szCs w:val="21"/>
        </w:rPr>
      </w:pPr>
      <w:r w:rsidRPr="00D954F8">
        <w:rPr>
          <w:rFonts w:ascii="宋体" w:eastAsia="宋体" w:hAnsi="宋体" w:hint="eastAsia"/>
          <w:szCs w:val="21"/>
        </w:rPr>
        <w:t>③市场调节具有盲目性和滞后性</w:t>
      </w:r>
    </w:p>
    <w:p w:rsidR="003F7DF4" w:rsidRPr="00D954F8" w:rsidRDefault="003F7DF4" w:rsidP="003F7DF4">
      <w:pPr>
        <w:spacing w:line="276" w:lineRule="auto"/>
        <w:rPr>
          <w:rFonts w:ascii="宋体" w:eastAsia="宋体" w:hAnsi="宋体"/>
          <w:szCs w:val="21"/>
        </w:rPr>
      </w:pPr>
      <w:r w:rsidRPr="00D954F8">
        <w:rPr>
          <w:rFonts w:ascii="宋体" w:eastAsia="宋体" w:hAnsi="宋体" w:hint="eastAsia"/>
          <w:szCs w:val="21"/>
        </w:rPr>
        <w:t>④股票投资是一种高风险的投资方式</w:t>
      </w:r>
      <w:r w:rsidRPr="00D954F8">
        <w:rPr>
          <w:rFonts w:ascii="宋体" w:eastAsia="宋体" w:hAnsi="宋体" w:hint="eastAsia"/>
          <w:szCs w:val="21"/>
        </w:rPr>
        <w:tab/>
      </w:r>
    </w:p>
    <w:p w:rsidR="003F7DF4" w:rsidRPr="009628C2" w:rsidRDefault="003F7DF4" w:rsidP="003F7DF4">
      <w:pPr>
        <w:spacing w:line="276" w:lineRule="auto"/>
        <w:rPr>
          <w:rFonts w:ascii="宋体" w:eastAsia="宋体" w:hAnsi="宋体"/>
          <w:szCs w:val="21"/>
        </w:rPr>
      </w:pPr>
      <w:r w:rsidRPr="00D954F8">
        <w:rPr>
          <w:rFonts w:ascii="宋体" w:eastAsia="宋体" w:hAnsi="宋体" w:hint="eastAsia"/>
          <w:szCs w:val="21"/>
        </w:rPr>
        <w:t>A．①②</w:t>
      </w:r>
      <w:r w:rsidRPr="00D954F8">
        <w:rPr>
          <w:rFonts w:ascii="宋体" w:eastAsia="宋体" w:hAnsi="宋体" w:hint="eastAsia"/>
          <w:szCs w:val="21"/>
        </w:rPr>
        <w:tab/>
        <w:t xml:space="preserve">   B．①④</w:t>
      </w:r>
      <w:r w:rsidRPr="00D954F8">
        <w:rPr>
          <w:rFonts w:ascii="宋体" w:eastAsia="宋体" w:hAnsi="宋体" w:hint="eastAsia"/>
          <w:szCs w:val="21"/>
        </w:rPr>
        <w:tab/>
        <w:t xml:space="preserve">    C．②③</w:t>
      </w:r>
      <w:r w:rsidRPr="00D954F8">
        <w:rPr>
          <w:rFonts w:ascii="宋体" w:eastAsia="宋体" w:hAnsi="宋体" w:hint="eastAsia"/>
          <w:szCs w:val="21"/>
        </w:rPr>
        <w:tab/>
        <w:t xml:space="preserve">    D．③④</w:t>
      </w:r>
    </w:p>
    <w:p w:rsidR="003F7DF4" w:rsidRDefault="003F7DF4" w:rsidP="003F7DF4">
      <w:pPr>
        <w:spacing w:line="276" w:lineRule="auto"/>
        <w:rPr>
          <w:rFonts w:ascii="宋体" w:eastAsia="宋体" w:hAnsi="宋体"/>
          <w:szCs w:val="21"/>
        </w:rPr>
      </w:pPr>
      <w:r w:rsidRPr="002F2088">
        <w:rPr>
          <w:rFonts w:ascii="宋体" w:eastAsia="宋体" w:hAnsi="宋体" w:hint="eastAsia"/>
          <w:szCs w:val="21"/>
        </w:rPr>
        <w:t>6.</w:t>
      </w:r>
      <w:r w:rsidRPr="002F2088">
        <w:rPr>
          <w:rFonts w:hint="eastAsia"/>
        </w:rPr>
        <w:t xml:space="preserve"> </w:t>
      </w:r>
      <w:r w:rsidRPr="00AC4A1B">
        <w:rPr>
          <w:rFonts w:ascii="宋体" w:eastAsia="宋体" w:hAnsi="宋体" w:hint="eastAsia"/>
          <w:szCs w:val="21"/>
        </w:rPr>
        <w:t>(2016天津</w:t>
      </w:r>
      <w:proofErr w:type="gramStart"/>
      <w:r w:rsidRPr="00AC4A1B">
        <w:rPr>
          <w:rFonts w:ascii="宋体" w:eastAsia="宋体" w:hAnsi="宋体" w:hint="eastAsia"/>
          <w:szCs w:val="21"/>
        </w:rPr>
        <w:t>文综)</w:t>
      </w:r>
      <w:proofErr w:type="gramEnd"/>
      <w:r w:rsidRPr="00AC4A1B">
        <w:rPr>
          <w:rFonts w:ascii="宋体" w:eastAsia="宋体" w:hAnsi="宋体" w:hint="eastAsia"/>
          <w:szCs w:val="21"/>
        </w:rPr>
        <w:t>2016年1月1日,M先生收到L先生偿还的为期一年的借款本金10万元与利息5000元,同期二人所在国家的通货膨胀率为7%。这意味着</w:t>
      </w:r>
    </w:p>
    <w:p w:rsidR="003F7DF4" w:rsidRPr="00AC4A1B" w:rsidRDefault="003F7DF4" w:rsidP="003F7DF4">
      <w:pPr>
        <w:spacing w:line="276" w:lineRule="auto"/>
        <w:rPr>
          <w:rFonts w:ascii="宋体" w:eastAsia="宋体" w:hAnsi="宋体"/>
          <w:szCs w:val="21"/>
        </w:rPr>
      </w:pPr>
      <w:r w:rsidRPr="00AC4A1B">
        <w:rPr>
          <w:rFonts w:ascii="宋体" w:eastAsia="宋体" w:hAnsi="宋体" w:hint="eastAsia"/>
          <w:szCs w:val="21"/>
        </w:rPr>
        <w:t>A.该国的社会总需求小于社会总供给</w:t>
      </w:r>
    </w:p>
    <w:p w:rsidR="003F7DF4" w:rsidRPr="00AC4A1B" w:rsidRDefault="003F7DF4" w:rsidP="003F7DF4">
      <w:pPr>
        <w:spacing w:line="276" w:lineRule="auto"/>
        <w:rPr>
          <w:rFonts w:ascii="宋体" w:eastAsia="宋体" w:hAnsi="宋体"/>
          <w:szCs w:val="21"/>
        </w:rPr>
      </w:pPr>
      <w:r w:rsidRPr="00AC4A1B">
        <w:rPr>
          <w:rFonts w:ascii="宋体" w:eastAsia="宋体" w:hAnsi="宋体" w:hint="eastAsia"/>
          <w:szCs w:val="21"/>
        </w:rPr>
        <w:t>B.民间借贷是造成通货膨胀的原因之一</w:t>
      </w:r>
    </w:p>
    <w:p w:rsidR="003F7DF4" w:rsidRPr="00AC4A1B" w:rsidRDefault="003F7DF4" w:rsidP="003F7DF4">
      <w:pPr>
        <w:spacing w:line="276" w:lineRule="auto"/>
        <w:rPr>
          <w:rFonts w:ascii="宋体" w:eastAsia="宋体" w:hAnsi="宋体"/>
          <w:szCs w:val="21"/>
        </w:rPr>
      </w:pPr>
      <w:r w:rsidRPr="00AC4A1B">
        <w:rPr>
          <w:rFonts w:ascii="宋体" w:eastAsia="宋体" w:hAnsi="宋体" w:hint="eastAsia"/>
          <w:szCs w:val="21"/>
        </w:rPr>
        <w:lastRenderedPageBreak/>
        <w:t>C.在此借贷关系中,通货膨胀使双方利益同时受损</w:t>
      </w:r>
    </w:p>
    <w:p w:rsidR="003F7DF4" w:rsidRDefault="003F7DF4" w:rsidP="003F7DF4">
      <w:pPr>
        <w:spacing w:line="276" w:lineRule="auto"/>
        <w:rPr>
          <w:rFonts w:ascii="宋体" w:eastAsia="宋体" w:hAnsi="宋体"/>
          <w:szCs w:val="21"/>
        </w:rPr>
      </w:pPr>
      <w:r w:rsidRPr="00AC4A1B">
        <w:rPr>
          <w:rFonts w:ascii="宋体" w:eastAsia="宋体" w:hAnsi="宋体" w:hint="eastAsia"/>
          <w:szCs w:val="21"/>
        </w:rPr>
        <w:t>D.在此借贷关系中,通货膨胀损害了M先生的利益</w:t>
      </w:r>
    </w:p>
    <w:p w:rsidR="003F7DF4" w:rsidRPr="002F2088" w:rsidRDefault="003F7DF4" w:rsidP="003F7DF4">
      <w:pPr>
        <w:spacing w:line="276" w:lineRule="auto"/>
        <w:rPr>
          <w:rFonts w:ascii="宋体" w:eastAsia="宋体" w:hAnsi="宋体"/>
          <w:szCs w:val="21"/>
        </w:rPr>
      </w:pPr>
      <w:r w:rsidRPr="002F2088">
        <w:rPr>
          <w:rFonts w:ascii="宋体" w:eastAsia="宋体" w:hAnsi="宋体" w:hint="eastAsia"/>
          <w:szCs w:val="21"/>
        </w:rPr>
        <w:t>7.</w:t>
      </w:r>
      <w:r w:rsidRPr="002F2088">
        <w:rPr>
          <w:rFonts w:hint="eastAsia"/>
        </w:rPr>
        <w:t xml:space="preserve"> </w:t>
      </w:r>
      <w:r w:rsidRPr="002F2088">
        <w:rPr>
          <w:rFonts w:ascii="宋体" w:eastAsia="宋体" w:hAnsi="宋体" w:hint="eastAsia"/>
          <w:szCs w:val="21"/>
        </w:rPr>
        <w:t>（2019 全国Ⅱ）2019年1月，证监会发布《关于在上海证券交易所设立科创版并试点注册制的实施意见》。</w:t>
      </w:r>
      <w:proofErr w:type="gramStart"/>
      <w:r w:rsidRPr="002F2088">
        <w:rPr>
          <w:rFonts w:ascii="宋体" w:eastAsia="宋体" w:hAnsi="宋体" w:hint="eastAsia"/>
          <w:szCs w:val="21"/>
        </w:rPr>
        <w:t>科创板</w:t>
      </w:r>
      <w:proofErr w:type="gramEnd"/>
      <w:r w:rsidRPr="002F2088">
        <w:rPr>
          <w:rFonts w:ascii="宋体" w:eastAsia="宋体" w:hAnsi="宋体" w:hint="eastAsia"/>
          <w:szCs w:val="21"/>
        </w:rPr>
        <w:t>是专门服务有良好发展前景和市场认可度的科技型与创新型企业的股票板块。与现行股票市场中的主板不同，</w:t>
      </w:r>
      <w:proofErr w:type="gramStart"/>
      <w:r w:rsidRPr="002F2088">
        <w:rPr>
          <w:rFonts w:ascii="宋体" w:eastAsia="宋体" w:hAnsi="宋体" w:hint="eastAsia"/>
          <w:szCs w:val="21"/>
        </w:rPr>
        <w:t>科创板</w:t>
      </w:r>
      <w:proofErr w:type="gramEnd"/>
      <w:r w:rsidRPr="002F2088">
        <w:rPr>
          <w:rFonts w:ascii="宋体" w:eastAsia="宋体" w:hAnsi="宋体" w:hint="eastAsia"/>
          <w:szCs w:val="21"/>
        </w:rPr>
        <w:t>试行注册制，并允许尚未盈利的公司上市。</w:t>
      </w:r>
      <w:proofErr w:type="gramStart"/>
      <w:r w:rsidRPr="002F2088">
        <w:rPr>
          <w:rFonts w:ascii="宋体" w:eastAsia="宋体" w:hAnsi="宋体" w:hint="eastAsia"/>
          <w:szCs w:val="21"/>
        </w:rPr>
        <w:t>设立科创板</w:t>
      </w:r>
      <w:proofErr w:type="gramEnd"/>
      <w:r w:rsidRPr="002F2088">
        <w:rPr>
          <w:rFonts w:ascii="宋体" w:eastAsia="宋体" w:hAnsi="宋体" w:hint="eastAsia"/>
          <w:szCs w:val="21"/>
        </w:rPr>
        <w:t>旨在</w:t>
      </w:r>
    </w:p>
    <w:p w:rsidR="003F7DF4" w:rsidRPr="002F2088" w:rsidRDefault="003F7DF4" w:rsidP="003F7DF4">
      <w:pPr>
        <w:spacing w:line="276" w:lineRule="auto"/>
        <w:rPr>
          <w:rFonts w:ascii="宋体" w:eastAsia="宋体" w:hAnsi="宋体"/>
          <w:szCs w:val="21"/>
        </w:rPr>
      </w:pPr>
      <w:r w:rsidRPr="002F2088">
        <w:rPr>
          <w:rFonts w:ascii="宋体" w:eastAsia="宋体" w:hAnsi="宋体" w:hint="eastAsia"/>
          <w:szCs w:val="21"/>
        </w:rPr>
        <w:t>① 放宽市场准入，</w:t>
      </w:r>
      <w:proofErr w:type="gramStart"/>
      <w:r w:rsidRPr="002F2088">
        <w:rPr>
          <w:rFonts w:ascii="宋体" w:eastAsia="宋体" w:hAnsi="宋体" w:hint="eastAsia"/>
          <w:szCs w:val="21"/>
        </w:rPr>
        <w:t>支持科创企业</w:t>
      </w:r>
      <w:proofErr w:type="gramEnd"/>
      <w:r w:rsidRPr="002F2088">
        <w:rPr>
          <w:rFonts w:ascii="宋体" w:eastAsia="宋体" w:hAnsi="宋体" w:hint="eastAsia"/>
          <w:szCs w:val="21"/>
        </w:rPr>
        <w:t>发展        ② 完善资本市场，提高资本配置效率</w:t>
      </w:r>
    </w:p>
    <w:p w:rsidR="003F7DF4" w:rsidRPr="002F2088" w:rsidRDefault="003F7DF4" w:rsidP="003F7DF4">
      <w:pPr>
        <w:spacing w:line="276" w:lineRule="auto"/>
        <w:rPr>
          <w:rFonts w:ascii="宋体" w:eastAsia="宋体" w:hAnsi="宋体"/>
          <w:szCs w:val="21"/>
        </w:rPr>
      </w:pPr>
      <w:r w:rsidRPr="002F2088">
        <w:rPr>
          <w:rFonts w:ascii="宋体" w:eastAsia="宋体" w:hAnsi="宋体" w:hint="eastAsia"/>
          <w:szCs w:val="21"/>
        </w:rPr>
        <w:t>③ 增加投资选择，控制资本市场风险        ④ 加速资金流动，提高股市投资回报率</w:t>
      </w:r>
    </w:p>
    <w:p w:rsidR="003F7DF4" w:rsidRPr="002F2088" w:rsidRDefault="003F7DF4" w:rsidP="003F7DF4">
      <w:pPr>
        <w:spacing w:line="276" w:lineRule="auto"/>
        <w:rPr>
          <w:rFonts w:ascii="宋体" w:eastAsia="宋体" w:hAnsi="宋体"/>
          <w:szCs w:val="21"/>
        </w:rPr>
      </w:pPr>
      <w:r w:rsidRPr="002F2088">
        <w:rPr>
          <w:rFonts w:ascii="宋体" w:eastAsia="宋体" w:hAnsi="宋体" w:hint="eastAsia"/>
          <w:szCs w:val="21"/>
        </w:rPr>
        <w:t>A．①②     B．①③      C．②④       D．③④</w:t>
      </w:r>
    </w:p>
    <w:p w:rsidR="003F7DF4" w:rsidRDefault="003F7DF4" w:rsidP="003F7DF4">
      <w:pPr>
        <w:spacing w:line="276" w:lineRule="auto"/>
      </w:pPr>
      <w:r w:rsidRPr="001842BA">
        <w:rPr>
          <w:rFonts w:ascii="宋体" w:cs="宋体" w:hint="eastAsia"/>
          <w:noProof/>
          <w:color w:val="000000"/>
          <w:kern w:val="0"/>
        </w:rPr>
        <w:drawing>
          <wp:inline distT="0" distB="0" distL="0" distR="0" wp14:anchorId="4EA711E1" wp14:editId="7A65BD4D">
            <wp:extent cx="2257425" cy="1590675"/>
            <wp:effectExtent l="0" t="0" r="0" b="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1842BA">
        <w:rPr>
          <w:rFonts w:ascii="宋体" w:cs="宋体" w:hint="eastAsia"/>
          <w:noProof/>
          <w:color w:val="000000"/>
          <w:kern w:val="0"/>
        </w:rPr>
        <w:drawing>
          <wp:inline distT="0" distB="0" distL="0" distR="0" wp14:anchorId="2C1C27A3" wp14:editId="4F296B03">
            <wp:extent cx="2152650" cy="1600200"/>
            <wp:effectExtent l="0" t="0" r="0" b="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3F7DF4" w:rsidRPr="00904B02" w:rsidRDefault="003F7DF4" w:rsidP="003F7DF4">
      <w:pPr>
        <w:spacing w:line="276" w:lineRule="auto"/>
      </w:pPr>
      <w:r w:rsidRPr="00904B02">
        <w:t>8.</w:t>
      </w:r>
      <w:r>
        <w:rPr>
          <w:rFonts w:hint="eastAsia"/>
        </w:rPr>
        <w:t>（</w:t>
      </w:r>
      <w:r>
        <w:rPr>
          <w:rFonts w:hint="eastAsia"/>
        </w:rPr>
        <w:t>2018.11</w:t>
      </w:r>
      <w:r>
        <w:rPr>
          <w:rFonts w:hint="eastAsia"/>
        </w:rPr>
        <w:t>朝阳期中）</w:t>
      </w:r>
      <w:r w:rsidRPr="00904B02">
        <w:rPr>
          <w:rFonts w:ascii="宋体" w:eastAsia="宋体" w:hAnsi="宋体" w:hint="eastAsia"/>
          <w:szCs w:val="21"/>
        </w:rPr>
        <w:t>如上图所示，根据经济形势和资本市场的变化，小张在2018年1月份调整了自己的投资组合，支撑小张</w:t>
      </w:r>
      <w:proofErr w:type="gramStart"/>
      <w:r w:rsidRPr="00904B02">
        <w:rPr>
          <w:rFonts w:ascii="宋体" w:eastAsia="宋体" w:hAnsi="宋体" w:hint="eastAsia"/>
          <w:szCs w:val="21"/>
        </w:rPr>
        <w:t>作出</w:t>
      </w:r>
      <w:proofErr w:type="gramEnd"/>
      <w:r w:rsidRPr="00904B02">
        <w:rPr>
          <w:rFonts w:ascii="宋体" w:eastAsia="宋体" w:hAnsi="宋体" w:hint="eastAsia"/>
          <w:szCs w:val="21"/>
        </w:rPr>
        <w:t>调整的理由最有可能是</w:t>
      </w:r>
    </w:p>
    <w:p w:rsidR="003F7DF4" w:rsidRPr="00904B02" w:rsidRDefault="003F7DF4" w:rsidP="003F7DF4">
      <w:pPr>
        <w:spacing w:line="276" w:lineRule="auto"/>
        <w:rPr>
          <w:rFonts w:ascii="宋体" w:eastAsia="宋体" w:hAnsi="宋体"/>
          <w:szCs w:val="21"/>
        </w:rPr>
      </w:pPr>
      <w:r w:rsidRPr="00904B02">
        <w:rPr>
          <w:rFonts w:ascii="宋体" w:eastAsia="宋体" w:hAnsi="宋体" w:hint="eastAsia"/>
          <w:szCs w:val="21"/>
        </w:rPr>
        <w:t>①小张的投资趋于更加稳健和谨慎       ②小张预计存贷款利率将连续下调</w:t>
      </w:r>
    </w:p>
    <w:p w:rsidR="003F7DF4" w:rsidRPr="00904B02" w:rsidRDefault="003F7DF4" w:rsidP="003F7DF4">
      <w:pPr>
        <w:spacing w:line="276" w:lineRule="auto"/>
        <w:rPr>
          <w:rFonts w:ascii="宋体" w:eastAsia="宋体" w:hAnsi="宋体"/>
          <w:szCs w:val="21"/>
        </w:rPr>
      </w:pPr>
      <w:r w:rsidRPr="00904B02">
        <w:rPr>
          <w:rFonts w:ascii="宋体" w:eastAsia="宋体" w:hAnsi="宋体" w:hint="eastAsia"/>
          <w:szCs w:val="21"/>
        </w:rPr>
        <w:t>③小张对上市公司业绩前景不乐观       ④小张看好房地产行业的发展前景</w:t>
      </w:r>
    </w:p>
    <w:p w:rsidR="003F7DF4" w:rsidRPr="002F2088" w:rsidRDefault="003F7DF4" w:rsidP="003F7DF4">
      <w:pPr>
        <w:spacing w:line="276" w:lineRule="auto"/>
        <w:rPr>
          <w:rFonts w:ascii="宋体" w:eastAsia="宋体" w:hAnsi="宋体"/>
          <w:szCs w:val="21"/>
        </w:rPr>
      </w:pPr>
      <w:r w:rsidRPr="00904B02">
        <w:rPr>
          <w:rFonts w:ascii="宋体" w:eastAsia="宋体" w:hAnsi="宋体" w:hint="eastAsia"/>
          <w:szCs w:val="21"/>
        </w:rPr>
        <w:t>A.①②       B.①③        C.②④       D.③④</w:t>
      </w:r>
    </w:p>
    <w:p w:rsidR="003F7DF4" w:rsidRPr="00AC4A1B" w:rsidRDefault="003F7DF4" w:rsidP="003F7DF4">
      <w:pPr>
        <w:spacing w:line="276" w:lineRule="auto"/>
        <w:rPr>
          <w:rFonts w:ascii="宋体" w:eastAsia="宋体" w:hAnsi="宋体"/>
          <w:szCs w:val="21"/>
        </w:rPr>
      </w:pPr>
      <w:r w:rsidRPr="002F2088">
        <w:rPr>
          <w:rFonts w:ascii="宋体" w:eastAsia="宋体" w:hAnsi="宋体" w:hint="eastAsia"/>
          <w:szCs w:val="21"/>
        </w:rPr>
        <w:t>9.</w:t>
      </w:r>
      <w:r w:rsidRPr="00AC4A1B">
        <w:rPr>
          <w:rFonts w:hint="eastAsia"/>
        </w:rPr>
        <w:t xml:space="preserve"> </w:t>
      </w:r>
      <w:r w:rsidRPr="00AC4A1B">
        <w:rPr>
          <w:rFonts w:ascii="宋体" w:eastAsia="宋体" w:hAnsi="宋体" w:hint="eastAsia"/>
          <w:szCs w:val="21"/>
        </w:rPr>
        <w:t>(2016天津</w:t>
      </w:r>
      <w:proofErr w:type="gramStart"/>
      <w:r w:rsidRPr="00AC4A1B">
        <w:rPr>
          <w:rFonts w:ascii="宋体" w:eastAsia="宋体" w:hAnsi="宋体" w:hint="eastAsia"/>
          <w:szCs w:val="21"/>
        </w:rPr>
        <w:t>文综)</w:t>
      </w:r>
      <w:proofErr w:type="gramEnd"/>
      <w:r w:rsidRPr="00AC4A1B">
        <w:rPr>
          <w:rFonts w:ascii="宋体" w:eastAsia="宋体" w:hAnsi="宋体" w:hint="eastAsia"/>
          <w:szCs w:val="21"/>
        </w:rPr>
        <w:t>大多市场风险是可以通过保险手段化解的。以食品安全责任险为例,企业投保后一旦出现问题,保险公司可以按约及时补偿受害人,同时保险公司“连餐馆用啥洗碗都管”,有利于督促企业安全管理。食品安全责任险</w:t>
      </w:r>
    </w:p>
    <w:p w:rsidR="003F7DF4" w:rsidRPr="00AC4A1B" w:rsidRDefault="003F7DF4" w:rsidP="003F7DF4">
      <w:pPr>
        <w:spacing w:line="276" w:lineRule="auto"/>
        <w:rPr>
          <w:rFonts w:ascii="宋体" w:eastAsia="宋体" w:hAnsi="宋体"/>
          <w:szCs w:val="21"/>
        </w:rPr>
      </w:pPr>
      <w:r w:rsidRPr="00AC4A1B">
        <w:rPr>
          <w:rFonts w:ascii="宋体" w:eastAsia="宋体" w:hAnsi="宋体" w:hint="eastAsia"/>
          <w:szCs w:val="21"/>
        </w:rPr>
        <w:t>①是社会保障的重要组成部分</w:t>
      </w:r>
    </w:p>
    <w:p w:rsidR="003F7DF4" w:rsidRPr="00AC4A1B" w:rsidRDefault="003F7DF4" w:rsidP="003F7DF4">
      <w:pPr>
        <w:spacing w:line="276" w:lineRule="auto"/>
        <w:rPr>
          <w:rFonts w:ascii="宋体" w:eastAsia="宋体" w:hAnsi="宋体"/>
          <w:szCs w:val="21"/>
        </w:rPr>
      </w:pPr>
      <w:r w:rsidRPr="00AC4A1B">
        <w:rPr>
          <w:rFonts w:ascii="宋体" w:eastAsia="宋体" w:hAnsi="宋体" w:hint="eastAsia"/>
          <w:szCs w:val="21"/>
        </w:rPr>
        <w:t>②发挥了商业保险的经济补偿功能</w:t>
      </w:r>
    </w:p>
    <w:p w:rsidR="003F7DF4" w:rsidRPr="00AC4A1B" w:rsidRDefault="003F7DF4" w:rsidP="003F7DF4">
      <w:pPr>
        <w:spacing w:line="276" w:lineRule="auto"/>
        <w:rPr>
          <w:rFonts w:ascii="宋体" w:eastAsia="宋体" w:hAnsi="宋体"/>
          <w:szCs w:val="21"/>
        </w:rPr>
      </w:pPr>
      <w:r w:rsidRPr="00AC4A1B">
        <w:rPr>
          <w:rFonts w:ascii="宋体" w:eastAsia="宋体" w:hAnsi="宋体" w:hint="eastAsia"/>
          <w:szCs w:val="21"/>
        </w:rPr>
        <w:t>③是政府规范市场经济秩序的重要方式</w:t>
      </w:r>
    </w:p>
    <w:p w:rsidR="003F7DF4" w:rsidRPr="00AC4A1B" w:rsidRDefault="003F7DF4" w:rsidP="003F7DF4">
      <w:pPr>
        <w:spacing w:line="276" w:lineRule="auto"/>
        <w:rPr>
          <w:rFonts w:ascii="宋体" w:eastAsia="宋体" w:hAnsi="宋体"/>
          <w:szCs w:val="21"/>
        </w:rPr>
      </w:pPr>
      <w:r w:rsidRPr="00AC4A1B">
        <w:rPr>
          <w:rFonts w:ascii="宋体" w:eastAsia="宋体" w:hAnsi="宋体" w:hint="eastAsia"/>
          <w:szCs w:val="21"/>
        </w:rPr>
        <w:t>④促进食品企业提高产品质量,诚信经营</w:t>
      </w:r>
    </w:p>
    <w:p w:rsidR="003F7DF4" w:rsidRDefault="003F7DF4" w:rsidP="003F7DF4">
      <w:pPr>
        <w:spacing w:line="276" w:lineRule="auto"/>
        <w:rPr>
          <w:rFonts w:ascii="宋体" w:eastAsia="宋体" w:hAnsi="宋体"/>
          <w:szCs w:val="21"/>
        </w:rPr>
      </w:pPr>
      <w:r w:rsidRPr="00AC4A1B">
        <w:rPr>
          <w:rFonts w:ascii="宋体" w:eastAsia="宋体" w:hAnsi="宋体" w:hint="eastAsia"/>
          <w:szCs w:val="21"/>
        </w:rPr>
        <w:t>A.①②</w:t>
      </w:r>
      <w:r w:rsidRPr="00AC4A1B">
        <w:rPr>
          <w:rFonts w:ascii="宋体" w:eastAsia="宋体" w:hAnsi="宋体" w:hint="eastAsia"/>
          <w:szCs w:val="21"/>
        </w:rPr>
        <w:tab/>
        <w:t>B.③④</w:t>
      </w:r>
      <w:r w:rsidRPr="00AC4A1B">
        <w:rPr>
          <w:rFonts w:ascii="宋体" w:eastAsia="宋体" w:hAnsi="宋体" w:hint="eastAsia"/>
          <w:szCs w:val="21"/>
        </w:rPr>
        <w:tab/>
        <w:t>C.②④</w:t>
      </w:r>
      <w:r w:rsidRPr="00AC4A1B">
        <w:rPr>
          <w:rFonts w:ascii="宋体" w:eastAsia="宋体" w:hAnsi="宋体" w:hint="eastAsia"/>
          <w:szCs w:val="21"/>
        </w:rPr>
        <w:tab/>
        <w:t>D.①③</w:t>
      </w:r>
    </w:p>
    <w:p w:rsidR="003F7DF4" w:rsidRPr="008B5D5D" w:rsidRDefault="003F7DF4" w:rsidP="003F7DF4">
      <w:pPr>
        <w:spacing w:line="276" w:lineRule="auto"/>
        <w:rPr>
          <w:rFonts w:ascii="宋体" w:eastAsia="宋体" w:hAnsi="宋体"/>
          <w:szCs w:val="21"/>
        </w:rPr>
      </w:pPr>
      <w:r w:rsidRPr="002F2088">
        <w:rPr>
          <w:rFonts w:ascii="宋体" w:eastAsia="宋体" w:hAnsi="宋体" w:hint="eastAsia"/>
          <w:szCs w:val="21"/>
        </w:rPr>
        <w:t>10.</w:t>
      </w:r>
      <w:r w:rsidRPr="008B5D5D">
        <w:rPr>
          <w:rFonts w:hint="eastAsia"/>
        </w:rPr>
        <w:t xml:space="preserve"> </w:t>
      </w:r>
      <w:r w:rsidRPr="008B5D5D">
        <w:rPr>
          <w:rFonts w:ascii="宋体" w:eastAsia="宋体" w:hAnsi="宋体" w:hint="eastAsia"/>
          <w:szCs w:val="21"/>
        </w:rPr>
        <w:t>（2019丰台期末）对于支付宝的用户而言，消费应用与理财增值同时进行并不陌生。近日，某公司宣布新功能“零钱通”上线公测，投资人通过“零钱通”不仅可以购买货币基金获取理财收益，还可以用于</w:t>
      </w:r>
      <w:proofErr w:type="gramStart"/>
      <w:r w:rsidRPr="008B5D5D">
        <w:rPr>
          <w:rFonts w:ascii="宋体" w:eastAsia="宋体" w:hAnsi="宋体" w:hint="eastAsia"/>
          <w:szCs w:val="21"/>
        </w:rPr>
        <w:t>微信支付</w:t>
      </w:r>
      <w:proofErr w:type="gramEnd"/>
      <w:r w:rsidRPr="008B5D5D">
        <w:rPr>
          <w:rFonts w:ascii="宋体" w:eastAsia="宋体" w:hAnsi="宋体" w:hint="eastAsia"/>
          <w:szCs w:val="21"/>
        </w:rPr>
        <w:t>中的所有消费场景。这会使</w:t>
      </w:r>
    </w:p>
    <w:p w:rsidR="003F7DF4" w:rsidRPr="008B5D5D" w:rsidRDefault="003F7DF4" w:rsidP="003F7DF4">
      <w:pPr>
        <w:spacing w:line="276" w:lineRule="auto"/>
        <w:rPr>
          <w:rFonts w:ascii="宋体" w:eastAsia="宋体" w:hAnsi="宋体"/>
          <w:szCs w:val="21"/>
        </w:rPr>
      </w:pPr>
      <w:r w:rsidRPr="008B5D5D">
        <w:rPr>
          <w:rFonts w:ascii="宋体" w:eastAsia="宋体" w:hAnsi="宋体" w:hint="eastAsia"/>
          <w:szCs w:val="21"/>
        </w:rPr>
        <w:t>A.投资人的收益更具有安全性         B.投资人的投资收益增加</w:t>
      </w:r>
    </w:p>
    <w:p w:rsidR="003F7DF4" w:rsidRPr="002F2088" w:rsidRDefault="003F7DF4" w:rsidP="003F7DF4">
      <w:pPr>
        <w:spacing w:line="276" w:lineRule="auto"/>
        <w:rPr>
          <w:rFonts w:ascii="宋体" w:eastAsia="宋体" w:hAnsi="宋体"/>
          <w:szCs w:val="21"/>
        </w:rPr>
      </w:pPr>
      <w:r w:rsidRPr="008B5D5D">
        <w:rPr>
          <w:rFonts w:ascii="宋体" w:eastAsia="宋体" w:hAnsi="宋体" w:hint="eastAsia"/>
          <w:szCs w:val="21"/>
        </w:rPr>
        <w:t>C.居民投资理财的渠道进一步拓宽     D.零钱理财成为个人理财最佳投资方式</w:t>
      </w:r>
    </w:p>
    <w:p w:rsidR="00580330" w:rsidRPr="003F7DF4" w:rsidRDefault="00580330">
      <w:pPr>
        <w:spacing w:line="240" w:lineRule="atLeast"/>
        <w:jc w:val="center"/>
        <w:rPr>
          <w:rFonts w:ascii="宋体" w:eastAsia="宋体" w:hAnsi="宋体" w:cs="Times New Roman"/>
          <w:b/>
          <w:color w:val="000000"/>
          <w:sz w:val="30"/>
          <w:szCs w:val="30"/>
        </w:rPr>
      </w:pPr>
    </w:p>
    <w:sectPr w:rsidR="00580330" w:rsidRPr="003F7DF4">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589C" w:rsidRDefault="0018589C">
      <w:r>
        <w:separator/>
      </w:r>
    </w:p>
  </w:endnote>
  <w:endnote w:type="continuationSeparator" w:id="0">
    <w:p w:rsidR="0018589C" w:rsidRDefault="001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AutoText"/>
      </w:docPartObj>
    </w:sdtPr>
    <w:sdtEndPr/>
    <w:sdtContent>
      <w:p w:rsidR="00580330" w:rsidRDefault="006C08EA">
        <w:pPr>
          <w:pStyle w:val="a5"/>
          <w:jc w:val="center"/>
        </w:pPr>
        <w:r>
          <w:fldChar w:fldCharType="begin"/>
        </w:r>
        <w:r>
          <w:instrText xml:space="preserve"> PAGE   \* MERGEFORMAT </w:instrText>
        </w:r>
        <w:r>
          <w:fldChar w:fldCharType="separate"/>
        </w:r>
        <w:r>
          <w:rPr>
            <w:lang w:val="zh-CN"/>
          </w:rPr>
          <w:t>1</w:t>
        </w:r>
        <w:r>
          <w:fldChar w:fldCharType="end"/>
        </w:r>
      </w:p>
    </w:sdtContent>
  </w:sdt>
  <w:p w:rsidR="00580330" w:rsidRDefault="005803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589C" w:rsidRDefault="0018589C">
      <w:r>
        <w:separator/>
      </w:r>
    </w:p>
  </w:footnote>
  <w:footnote w:type="continuationSeparator" w:id="0">
    <w:p w:rsidR="0018589C" w:rsidRDefault="00185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686"/>
    <w:rsid w:val="0018589C"/>
    <w:rsid w:val="00291FA0"/>
    <w:rsid w:val="003F7DF4"/>
    <w:rsid w:val="004113B7"/>
    <w:rsid w:val="0041733E"/>
    <w:rsid w:val="0048618B"/>
    <w:rsid w:val="00580330"/>
    <w:rsid w:val="00672B32"/>
    <w:rsid w:val="006C08EA"/>
    <w:rsid w:val="007C1686"/>
    <w:rsid w:val="00C22BA0"/>
    <w:rsid w:val="00D706C4"/>
    <w:rsid w:val="00E66BB4"/>
    <w:rsid w:val="35D4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F8CD5FF-26EA-4A1E-8465-9904BAD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398"/>
            </a:pPr>
            <a:r>
              <a:rPr lang="zh-CN" altLang="en-US"/>
              <a:t>原来的投资结构</a:t>
            </a:r>
          </a:p>
        </c:rich>
      </c:tx>
      <c:layout>
        <c:manualLayout>
          <c:xMode val="edge"/>
          <c:yMode val="edge"/>
          <c:x val="0.32419854184893554"/>
          <c:y val="7.3484126586087564E-3"/>
        </c:manualLayout>
      </c:layout>
      <c:overlay val="0"/>
      <c:spPr>
        <a:noFill/>
        <a:ln w="25361">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调整后的投资结构</c:v>
                </c:pt>
              </c:strCache>
            </c:strRef>
          </c:tx>
          <c:explosion val="25"/>
          <c:dPt>
            <c:idx val="0"/>
            <c:bubble3D val="0"/>
            <c:extLst>
              <c:ext xmlns:c16="http://schemas.microsoft.com/office/drawing/2014/chart" uri="{C3380CC4-5D6E-409C-BE32-E72D297353CC}">
                <c16:uniqueId val="{00000000-D4C2-4944-AB8A-3AB26F188D99}"/>
              </c:ext>
            </c:extLst>
          </c:dPt>
          <c:dPt>
            <c:idx val="1"/>
            <c:bubble3D val="0"/>
            <c:extLst>
              <c:ext xmlns:c16="http://schemas.microsoft.com/office/drawing/2014/chart" uri="{C3380CC4-5D6E-409C-BE32-E72D297353CC}">
                <c16:uniqueId val="{00000001-D4C2-4944-AB8A-3AB26F188D99}"/>
              </c:ext>
            </c:extLst>
          </c:dPt>
          <c:dPt>
            <c:idx val="2"/>
            <c:bubble3D val="0"/>
            <c:extLst>
              <c:ext xmlns:c16="http://schemas.microsoft.com/office/drawing/2014/chart" uri="{C3380CC4-5D6E-409C-BE32-E72D297353CC}">
                <c16:uniqueId val="{00000002-D4C2-4944-AB8A-3AB26F188D99}"/>
              </c:ext>
            </c:extLst>
          </c:dPt>
          <c:dPt>
            <c:idx val="3"/>
            <c:bubble3D val="0"/>
            <c:extLst>
              <c:ext xmlns:c16="http://schemas.microsoft.com/office/drawing/2014/chart" uri="{C3380CC4-5D6E-409C-BE32-E72D297353CC}">
                <c16:uniqueId val="{00000003-D4C2-4944-AB8A-3AB26F188D99}"/>
              </c:ext>
            </c:extLst>
          </c:dPt>
          <c:dPt>
            <c:idx val="4"/>
            <c:bubble3D val="0"/>
            <c:extLst>
              <c:ext xmlns:c16="http://schemas.microsoft.com/office/drawing/2014/chart" uri="{C3380CC4-5D6E-409C-BE32-E72D297353CC}">
                <c16:uniqueId val="{00000004-D4C2-4944-AB8A-3AB26F188D99}"/>
              </c:ext>
            </c:extLst>
          </c:dPt>
          <c:dLbls>
            <c:dLbl>
              <c:idx val="1"/>
              <c:layout>
                <c:manualLayout>
                  <c:x val="0.14766861623198718"/>
                  <c:y val="-4.7442623672273525E-2"/>
                </c:manualLayout>
              </c:layout>
              <c:spPr>
                <a:noFill/>
                <a:ln w="25361">
                  <a:noFill/>
                </a:ln>
              </c:spPr>
              <c:txPr>
                <a:bodyPr/>
                <a:lstStyle/>
                <a:p>
                  <a:pPr>
                    <a:defRPr/>
                  </a:pPr>
                  <a:endParaRPr lang="zh-CN"/>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4C2-4944-AB8A-3AB26F188D99}"/>
                </c:ext>
              </c:extLst>
            </c:dLbl>
            <c:dLbl>
              <c:idx val="2"/>
              <c:layout>
                <c:manualLayout>
                  <c:x val="-3.4973403147580941E-2"/>
                  <c:y val="0.18441792247359495"/>
                </c:manualLayout>
              </c:layout>
              <c:tx>
                <c:rich>
                  <a:bodyPr/>
                  <a:lstStyle/>
                  <a:p>
                    <a:pPr>
                      <a:defRPr/>
                    </a:pPr>
                    <a:r>
                      <a:rPr lang="zh-CN" altLang="en-US"/>
                      <a:t>存款</a:t>
                    </a:r>
                  </a:p>
                  <a:p>
                    <a:pPr>
                      <a:defRPr/>
                    </a:pPr>
                    <a:r>
                      <a:rPr lang="zh-CN" altLang="en-US"/>
                      <a:t>储蓄
</a:t>
                    </a:r>
                    <a:r>
                      <a:rPr lang="en-US" altLang="zh-CN"/>
                      <a:t>10%</a:t>
                    </a:r>
                  </a:p>
                </c:rich>
              </c:tx>
              <c:spPr>
                <a:noFill/>
                <a:ln w="25361">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C2-4944-AB8A-3AB26F188D99}"/>
                </c:ext>
              </c:extLst>
            </c:dLbl>
            <c:dLbl>
              <c:idx val="3"/>
              <c:layout>
                <c:manualLayout>
                  <c:x val="-0.14125396906456658"/>
                  <c:y val="4.3232975306095385E-2"/>
                </c:manualLayout>
              </c:layout>
              <c:tx>
                <c:rich>
                  <a:bodyPr/>
                  <a:lstStyle/>
                  <a:p>
                    <a:pPr>
                      <a:defRPr/>
                    </a:pPr>
                    <a:r>
                      <a:rPr lang="zh-CN" altLang="en-US"/>
                      <a:t>银行</a:t>
                    </a:r>
                  </a:p>
                  <a:p>
                    <a:pPr>
                      <a:defRPr/>
                    </a:pPr>
                    <a:r>
                      <a:rPr lang="zh-CN" altLang="en-US"/>
                      <a:t>理财
</a:t>
                    </a:r>
                    <a:r>
                      <a:rPr lang="en-US" altLang="zh-CN"/>
                      <a:t>10%</a:t>
                    </a:r>
                  </a:p>
                </c:rich>
              </c:tx>
              <c:spPr>
                <a:noFill/>
                <a:ln w="25361">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C2-4944-AB8A-3AB26F188D99}"/>
                </c:ext>
              </c:extLst>
            </c:dLbl>
            <c:spPr>
              <a:noFill/>
              <a:ln w="25361">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Sheet1!$A$2:$A$6</c:f>
              <c:strCache>
                <c:ptCount val="5"/>
                <c:pt idx="0">
                  <c:v>股票</c:v>
                </c:pt>
                <c:pt idx="1">
                  <c:v>房地产</c:v>
                </c:pt>
                <c:pt idx="2">
                  <c:v>存款储蓄</c:v>
                </c:pt>
                <c:pt idx="3">
                  <c:v>银行理财</c:v>
                </c:pt>
                <c:pt idx="4">
                  <c:v>其他</c:v>
                </c:pt>
              </c:strCache>
            </c:strRef>
          </c:cat>
          <c:val>
            <c:numRef>
              <c:f>Sheet1!$B$2:$B$6</c:f>
              <c:numCache>
                <c:formatCode>0%</c:formatCode>
                <c:ptCount val="5"/>
                <c:pt idx="0">
                  <c:v>0.4</c:v>
                </c:pt>
                <c:pt idx="1">
                  <c:v>0.35</c:v>
                </c:pt>
                <c:pt idx="2">
                  <c:v>0.1</c:v>
                </c:pt>
                <c:pt idx="3">
                  <c:v>0.1</c:v>
                </c:pt>
                <c:pt idx="4">
                  <c:v>0.05</c:v>
                </c:pt>
              </c:numCache>
            </c:numRef>
          </c:val>
          <c:extLst>
            <c:ext xmlns:c16="http://schemas.microsoft.com/office/drawing/2014/chart" uri="{C3380CC4-5D6E-409C-BE32-E72D297353CC}">
              <c16:uniqueId val="{00000005-D4C2-4944-AB8A-3AB26F188D99}"/>
            </c:ext>
          </c:extLst>
        </c:ser>
        <c:dLbls>
          <c:showLegendKey val="0"/>
          <c:showVal val="0"/>
          <c:showCatName val="1"/>
          <c:showSerName val="0"/>
          <c:showPercent val="1"/>
          <c:showBubbleSize val="0"/>
          <c:showLeaderLines val="1"/>
        </c:dLbls>
      </c:pie3DChart>
      <c:spPr>
        <a:noFill/>
        <a:ln w="25361">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tx>
        <c:rich>
          <a:bodyPr/>
          <a:lstStyle/>
          <a:p>
            <a:pPr>
              <a:defRPr sz="1400"/>
            </a:pPr>
            <a:r>
              <a:rPr lang="zh-CN" altLang="en-US"/>
              <a:t>调整后的投资结构</a:t>
            </a:r>
          </a:p>
        </c:rich>
      </c:tx>
      <c:layout>
        <c:manualLayout>
          <c:xMode val="edge"/>
          <c:yMode val="edge"/>
          <c:x val="0.20703363014202666"/>
          <c:y val="0"/>
        </c:manualLayout>
      </c:layout>
      <c:overlay val="0"/>
      <c:spPr>
        <a:noFill/>
        <a:ln w="25407">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投资结构</c:v>
                </c:pt>
              </c:strCache>
            </c:strRef>
          </c:tx>
          <c:explosion val="25"/>
          <c:dPt>
            <c:idx val="0"/>
            <c:bubble3D val="0"/>
            <c:extLst>
              <c:ext xmlns:c16="http://schemas.microsoft.com/office/drawing/2014/chart" uri="{C3380CC4-5D6E-409C-BE32-E72D297353CC}">
                <c16:uniqueId val="{00000000-8DDC-41DA-8A17-077209592E92}"/>
              </c:ext>
            </c:extLst>
          </c:dPt>
          <c:dPt>
            <c:idx val="1"/>
            <c:bubble3D val="0"/>
            <c:extLst>
              <c:ext xmlns:c16="http://schemas.microsoft.com/office/drawing/2014/chart" uri="{C3380CC4-5D6E-409C-BE32-E72D297353CC}">
                <c16:uniqueId val="{00000001-8DDC-41DA-8A17-077209592E92}"/>
              </c:ext>
            </c:extLst>
          </c:dPt>
          <c:dPt>
            <c:idx val="2"/>
            <c:bubble3D val="0"/>
            <c:extLst>
              <c:ext xmlns:c16="http://schemas.microsoft.com/office/drawing/2014/chart" uri="{C3380CC4-5D6E-409C-BE32-E72D297353CC}">
                <c16:uniqueId val="{00000002-8DDC-41DA-8A17-077209592E92}"/>
              </c:ext>
            </c:extLst>
          </c:dPt>
          <c:dPt>
            <c:idx val="3"/>
            <c:bubble3D val="0"/>
            <c:extLst>
              <c:ext xmlns:c16="http://schemas.microsoft.com/office/drawing/2014/chart" uri="{C3380CC4-5D6E-409C-BE32-E72D297353CC}">
                <c16:uniqueId val="{00000003-8DDC-41DA-8A17-077209592E92}"/>
              </c:ext>
            </c:extLst>
          </c:dPt>
          <c:dPt>
            <c:idx val="4"/>
            <c:bubble3D val="0"/>
            <c:extLst>
              <c:ext xmlns:c16="http://schemas.microsoft.com/office/drawing/2014/chart" uri="{C3380CC4-5D6E-409C-BE32-E72D297353CC}">
                <c16:uniqueId val="{00000004-8DDC-41DA-8A17-077209592E92}"/>
              </c:ext>
            </c:extLst>
          </c:dPt>
          <c:dLbls>
            <c:spPr>
              <a:noFill/>
              <a:ln w="25407">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Sheet1!$A$2:$A$6</c:f>
              <c:strCache>
                <c:ptCount val="5"/>
                <c:pt idx="0">
                  <c:v>存款储蓄</c:v>
                </c:pt>
                <c:pt idx="1">
                  <c:v>银行理财</c:v>
                </c:pt>
                <c:pt idx="2">
                  <c:v>房地产</c:v>
                </c:pt>
                <c:pt idx="3">
                  <c:v>股票</c:v>
                </c:pt>
                <c:pt idx="4">
                  <c:v>其他</c:v>
                </c:pt>
              </c:strCache>
            </c:strRef>
          </c:cat>
          <c:val>
            <c:numRef>
              <c:f>Sheet1!$B$2:$B$6</c:f>
              <c:numCache>
                <c:formatCode>0%</c:formatCode>
                <c:ptCount val="5"/>
                <c:pt idx="0">
                  <c:v>0.35</c:v>
                </c:pt>
                <c:pt idx="1">
                  <c:v>0.25</c:v>
                </c:pt>
                <c:pt idx="2">
                  <c:v>0.2</c:v>
                </c:pt>
                <c:pt idx="3">
                  <c:v>0.15</c:v>
                </c:pt>
                <c:pt idx="4">
                  <c:v>0.05</c:v>
                </c:pt>
              </c:numCache>
            </c:numRef>
          </c:val>
          <c:extLst>
            <c:ext xmlns:c16="http://schemas.microsoft.com/office/drawing/2014/chart" uri="{C3380CC4-5D6E-409C-BE32-E72D297353CC}">
              <c16:uniqueId val="{00000005-8DDC-41DA-8A17-077209592E92}"/>
            </c:ext>
          </c:extLst>
        </c:ser>
        <c:dLbls>
          <c:showLegendKey val="0"/>
          <c:showVal val="0"/>
          <c:showCatName val="1"/>
          <c:showSerName val="0"/>
          <c:showPercent val="1"/>
          <c:showBubbleSize val="0"/>
          <c:showLeaderLines val="1"/>
        </c:dLbls>
      </c:pie3DChart>
      <c:spPr>
        <a:noFill/>
        <a:ln w="25407">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6</cp:revision>
  <dcterms:created xsi:type="dcterms:W3CDTF">2020-02-06T02:55:00Z</dcterms:created>
  <dcterms:modified xsi:type="dcterms:W3CDTF">2020-02-15T05:48:00Z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