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黑体" w:hAnsi="华文黑体" w:eastAsia="华文黑体" w:cs="华文黑体"/>
          <w:b/>
          <w:bCs/>
          <w:sz w:val="28"/>
          <w:szCs w:val="36"/>
        </w:rPr>
      </w:pPr>
      <w:r>
        <w:rPr>
          <w:rFonts w:hint="eastAsia" w:ascii="华文黑体" w:hAnsi="华文黑体" w:eastAsia="华文黑体" w:cs="华文黑体"/>
          <w:b/>
          <w:bCs/>
          <w:sz w:val="28"/>
          <w:szCs w:val="36"/>
        </w:rPr>
        <w:t>高一年级历史第7课时</w:t>
      </w:r>
      <w:r>
        <w:rPr>
          <w:rFonts w:hint="default" w:ascii="华文黑体" w:hAnsi="华文黑体" w:eastAsia="华文黑体" w:cs="华文黑体"/>
          <w:b/>
          <w:bCs/>
          <w:sz w:val="28"/>
          <w:szCs w:val="36"/>
        </w:rPr>
        <w:t xml:space="preserve"> </w:t>
      </w:r>
      <w:r>
        <w:rPr>
          <w:rFonts w:hint="eastAsia" w:ascii="华文黑体" w:hAnsi="华文黑体" w:eastAsia="华文黑体" w:cs="华文黑体"/>
          <w:b/>
          <w:bCs/>
          <w:sz w:val="28"/>
          <w:szCs w:val="36"/>
        </w:rPr>
        <w:t>第四单元复习（1）</w:t>
      </w:r>
    </w:p>
    <w:p>
      <w:pPr>
        <w:jc w:val="center"/>
        <w:rPr>
          <w:rFonts w:hint="default" w:ascii="华文黑体" w:hAnsi="华文黑体" w:eastAsia="华文黑体" w:cs="华文黑体"/>
          <w:b/>
          <w:bCs/>
          <w:sz w:val="28"/>
          <w:szCs w:val="36"/>
        </w:rPr>
      </w:pPr>
      <w:r>
        <w:rPr>
          <w:rFonts w:hint="default" w:ascii="华文黑体" w:hAnsi="华文黑体" w:eastAsia="华文黑体" w:cs="华文黑体"/>
          <w:b/>
          <w:bCs/>
          <w:sz w:val="28"/>
          <w:szCs w:val="36"/>
        </w:rPr>
        <w:t>拓展提升答案</w:t>
      </w:r>
    </w:p>
    <w:p>
      <w:pPr>
        <w:numPr>
          <w:ilvl w:val="0"/>
          <w:numId w:val="1"/>
        </w:num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答案：</w:t>
      </w:r>
    </w:p>
    <w:p>
      <w:pPr>
        <w:numPr>
          <w:ilvl w:val="0"/>
          <w:numId w:val="0"/>
        </w:num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(1)特点:中央集权与地方部分自治相结合;尊重少数民族传统;借助宗教强化管理。(中央专管与派出管理相结合;中央监管与地方部分自治相结合;传承历史与时代更新相结合;行政管理与宗教管理相结合。)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hAnsi="宋体" w:eastAsia="宋体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(2)作用:密切了边疆与内地的联系;促进了各民族地区社会经济的发展;巩固了边防,有利于国家的稳定;推动统一多民族国家的发展。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jc w:val="left"/>
        <w:rPr>
          <w:rFonts w:ascii="Times New Roman" w:hAnsi="宋体" w:eastAsia="宋体"/>
        </w:rPr>
      </w:pPr>
      <w:r>
        <w:rPr>
          <w:rFonts w:ascii="Arial" w:hAnsi="黑体" w:eastAsia="黑体"/>
          <w:bdr w:val="single" w:color="000000" w:sz="4" w:space="0"/>
          <w:shd w:val="solid" w:color="E1E1E1" w:fill="auto"/>
        </w:rPr>
        <w:t>解析</w:t>
      </w:r>
      <w:r>
        <w:rPr>
          <w:rFonts w:ascii="Times New Roman" w:hAnsi="楷体" w:eastAsia="楷体"/>
        </w:rPr>
        <w:t>第</w:t>
      </w:r>
      <w:r>
        <w:rPr>
          <w:rFonts w:ascii="Times New Roman" w:hAnsi="宋体" w:eastAsia="宋体"/>
        </w:rPr>
        <w:t>(1)</w:t>
      </w:r>
      <w:r>
        <w:rPr>
          <w:rFonts w:ascii="Times New Roman" w:hAnsi="楷体" w:eastAsia="楷体"/>
        </w:rPr>
        <w:t>问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从处理中央与地方关系、尊重民族地区传统等方面回答。第</w:t>
      </w:r>
      <w:r>
        <w:rPr>
          <w:rFonts w:ascii="Times New Roman" w:hAnsi="宋体" w:eastAsia="宋体"/>
        </w:rPr>
        <w:t>(2)</w:t>
      </w:r>
      <w:r>
        <w:rPr>
          <w:rFonts w:ascii="Times New Roman" w:hAnsi="楷体" w:eastAsia="楷体"/>
        </w:rPr>
        <w:t>问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主要从边疆的稳定、经济的发展、民族关系、政权稳定的角度加以分析。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hAnsi="宋体" w:eastAsia="宋体"/>
        </w:rPr>
      </w:pPr>
    </w:p>
    <w:p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hAnsi="宋体" w:eastAsia="宋体"/>
        </w:rPr>
      </w:pPr>
    </w:p>
    <w:p>
      <w:pPr>
        <w:numPr>
          <w:ilvl w:val="0"/>
          <w:numId w:val="2"/>
        </w:num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答案：</w:t>
      </w:r>
    </w:p>
    <w:p>
      <w:pPr>
        <w:numPr>
          <w:ilvl w:val="0"/>
          <w:numId w:val="0"/>
        </w:num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(1)特点:清承明制,略有损益;分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化汉地省;边疆因俗而治;具有民族特色;突出满洲地位。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hAnsi="宋体" w:eastAsia="宋体"/>
        </w:rPr>
      </w:pPr>
      <w:r>
        <w:rPr>
          <w:rFonts w:hint="eastAsia" w:asciiTheme="minorEastAsia" w:hAnsiTheme="minorEastAsia" w:eastAsiaTheme="minorEastAsia" w:cstheme="minorEastAsia"/>
        </w:rPr>
        <w:t>(2)影响:奠定现代中国行政区划基础;有利于维护国家统一;促进民族交流;保持中华民族文明多样性。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hAnsi="宋体" w:eastAsia="宋体"/>
        </w:rPr>
      </w:pPr>
      <w:r>
        <w:rPr>
          <w:rFonts w:ascii="Arial" w:hAnsi="黑体" w:eastAsia="黑体"/>
          <w:bdr w:val="single" w:color="000000" w:sz="4" w:space="0"/>
          <w:shd w:val="solid" w:color="E1E1E1" w:fill="auto"/>
        </w:rPr>
        <w:t>解析</w:t>
      </w:r>
      <w:r>
        <w:rPr>
          <w:rFonts w:ascii="Times New Roman" w:hAnsi="楷体" w:eastAsia="楷体"/>
        </w:rPr>
        <w:t>第</w:t>
      </w:r>
      <w:r>
        <w:rPr>
          <w:rFonts w:ascii="Times New Roman" w:hAnsi="宋体" w:eastAsia="宋体"/>
        </w:rPr>
        <w:t>(1)</w:t>
      </w:r>
      <w:r>
        <w:rPr>
          <w:rFonts w:ascii="Times New Roman" w:hAnsi="楷体" w:eastAsia="楷体"/>
        </w:rPr>
        <w:t>问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根据材料中清初对明朝的继承得出清承明制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根据材料中康熙初年对江南、山西等省的改革得出是分化汉地省</w:t>
      </w:r>
      <w:r>
        <w:rPr>
          <w:rFonts w:ascii="Times New Roman" w:hAnsi="宋体" w:eastAsia="宋体"/>
        </w:rPr>
        <w:t>;</w:t>
      </w:r>
      <w:r>
        <w:rPr>
          <w:rFonts w:ascii="Times New Roman" w:hAnsi="楷体" w:eastAsia="楷体"/>
        </w:rPr>
        <w:t>根据材料中在边疆地区实行的措施得出是具有民族特色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因俗而治。第</w:t>
      </w:r>
      <w:r>
        <w:rPr>
          <w:rFonts w:ascii="Times New Roman" w:hAnsi="宋体" w:eastAsia="宋体"/>
        </w:rPr>
        <w:t>(2)</w:t>
      </w:r>
      <w:r>
        <w:rPr>
          <w:rFonts w:ascii="Times New Roman" w:hAnsi="楷体" w:eastAsia="楷体"/>
        </w:rPr>
        <w:t>问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据材料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楷体" w:eastAsia="楷体"/>
        </w:rPr>
        <w:t>清代省以下的各级行政区划单位基本上是沿用明制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省下辖府和直隶州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府下领散州和县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楷体" w:eastAsia="楷体"/>
        </w:rPr>
        <w:t>得出奠定了现代中国行政区划基础</w:t>
      </w:r>
      <w:r>
        <w:rPr>
          <w:rFonts w:ascii="Times New Roman" w:hAnsi="宋体" w:eastAsia="宋体"/>
        </w:rPr>
        <w:t>;</w:t>
      </w:r>
      <w:r>
        <w:rPr>
          <w:rFonts w:ascii="Times New Roman" w:hAnsi="楷体" w:eastAsia="楷体"/>
        </w:rPr>
        <w:t>结合所学知识得出有利于维护国家统一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促进民族交流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保持中华民族文明多样性。</w:t>
      </w:r>
    </w:p>
    <w:p>
      <w:pPr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00"/>
    <w:family w:val="modern"/>
    <w:pitch w:val="default"/>
    <w:sig w:usb0="00000000" w:usb1="00000000" w:usb2="00000012" w:usb3="00000000" w:csb0="0002009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NEU-BZ-S92">
    <w:altName w:val="宋体-简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NEU-BZ">
    <w:altName w:val="宋体-简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特粗光辉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A642C"/>
    <w:multiLevelType w:val="singleLevel"/>
    <w:tmpl w:val="5E3A642C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E3A643E"/>
    <w:multiLevelType w:val="singleLevel"/>
    <w:tmpl w:val="5E3A643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D4E73"/>
    <w:rsid w:val="60CD4E73"/>
    <w:rsid w:val="FF4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680"/>
        <w:tab w:val="right" w:pos="9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2020-02-05T22:06:00Z</dcterms:created>
  <dc:creator>zhaoyujie</dc:creator>
  <cp:lastModifiedBy>zhaoyujie</cp:lastModifiedBy>
  <dcterms:modified xsi:type="dcterms:W3CDTF">2020-02-05T14:54:46Z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