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黑体" w:hAnsi="华文黑体" w:eastAsia="华文黑体" w:cs="华文黑体"/>
          <w:b/>
          <w:bCs/>
          <w:sz w:val="28"/>
          <w:szCs w:val="36"/>
        </w:rPr>
      </w:pPr>
      <w:r>
        <w:rPr>
          <w:rFonts w:hint="eastAsia" w:ascii="华文黑体" w:hAnsi="华文黑体" w:eastAsia="华文黑体" w:cs="华文黑体"/>
          <w:b/>
          <w:bCs/>
          <w:sz w:val="28"/>
          <w:szCs w:val="36"/>
        </w:rPr>
        <w:t>高一年级历史第7课时</w:t>
      </w:r>
      <w:r>
        <w:rPr>
          <w:rFonts w:hint="default" w:ascii="华文黑体" w:hAnsi="华文黑体" w:eastAsia="华文黑体" w:cs="华文黑体"/>
          <w:b/>
          <w:bCs/>
          <w:sz w:val="28"/>
          <w:szCs w:val="36"/>
        </w:rPr>
        <w:t xml:space="preserve"> </w:t>
      </w:r>
      <w:r>
        <w:rPr>
          <w:rFonts w:hint="eastAsia" w:ascii="华文黑体" w:hAnsi="华文黑体" w:eastAsia="华文黑体" w:cs="华文黑体"/>
          <w:b/>
          <w:bCs/>
          <w:sz w:val="28"/>
          <w:szCs w:val="36"/>
        </w:rPr>
        <w:t>第四单元复习（1）</w:t>
      </w:r>
    </w:p>
    <w:p>
      <w:pPr>
        <w:jc w:val="center"/>
        <w:rPr>
          <w:rFonts w:hint="default" w:ascii="华文黑体" w:hAnsi="华文黑体" w:eastAsia="华文黑体" w:cs="华文黑体"/>
          <w:b/>
          <w:bCs/>
          <w:sz w:val="28"/>
          <w:szCs w:val="36"/>
        </w:rPr>
      </w:pPr>
      <w:r>
        <w:rPr>
          <w:rFonts w:hint="default" w:ascii="华文黑体" w:hAnsi="华文黑体" w:eastAsia="华文黑体" w:cs="华文黑体"/>
          <w:b/>
          <w:bCs/>
          <w:sz w:val="28"/>
          <w:szCs w:val="36"/>
        </w:rPr>
        <w:t>拓展提升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Times New Roman" w:hAnsi="宋体" w:eastAsia="宋体"/>
        </w:rPr>
        <w:t>1.</w:t>
      </w:r>
      <w:r>
        <w:rPr>
          <w:rFonts w:ascii="Times New Roman" w:hAnsi="宋体" w:eastAsia="宋体"/>
        </w:rPr>
        <w:t>阅读材料,完成下列要求。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Arial" w:hAnsi="黑体" w:eastAsia="黑体"/>
        </w:rPr>
        <w:t>材料</w:t>
      </w:r>
      <w:r>
        <w:rPr>
          <w:rFonts w:ascii="Times New Roman" w:hAnsi="宋体" w:eastAsia="宋体"/>
        </w:rPr>
        <w:t>　</w:t>
      </w:r>
      <w:r>
        <w:rPr>
          <w:rFonts w:ascii="Times New Roman" w:hAnsi="楷体" w:eastAsia="楷体"/>
        </w:rPr>
        <w:t>清初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为了沟通中央和边疆的联系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清廷特设理藩院进行专管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同时又派将军、都统大臣等官员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驻扎各地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代表朝廷统筹全局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监督中央政令的推行。而一般民刑事务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如编审人丁、征收赋税等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都由经朝廷任命的所在民族头领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或土官、土司自行管理。在制度上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清政府也多依据各民族的传统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保留其原有制度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如蒙古地区实行的盟旗制度和新疆维吾尔族中实行的伯克制。在蒙藏等地区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清政府特规定</w:t>
      </w:r>
      <w:r>
        <w:rPr>
          <w:rFonts w:ascii="Times New Roman" w:hAnsi="宋体" w:eastAsia="宋体"/>
        </w:rPr>
        <w:t>:</w:t>
      </w:r>
      <w:r>
        <w:rPr>
          <w:rFonts w:ascii="Times New Roman" w:hAnsi="楷体" w:eastAsia="楷体"/>
        </w:rPr>
        <w:t>凡喇嘛寺庙、僧徒得登记注册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包括班禅在内的各大喇嘛转世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需经清廷认可才算有效。清政府对边疆民族地区的管理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收到了很好的效果。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jc w:val="right"/>
        <w:rPr>
          <w:rFonts w:ascii="Times New Roman" w:hAnsi="宋体" w:eastAsia="宋体"/>
        </w:rPr>
      </w:pPr>
      <w:r>
        <w:rPr>
          <w:rFonts w:ascii="Times New Roman" w:hAnsi="Times New Roman" w:eastAsia="宋体" w:cs="Times New Roman"/>
        </w:rPr>
        <w:t>——</w:t>
      </w:r>
      <w:r>
        <w:rPr>
          <w:rFonts w:ascii="Times New Roman" w:hAnsi="楷体" w:eastAsia="楷体"/>
        </w:rPr>
        <w:t>摘编自白钢总主编《中国政治制度通史》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Times New Roman" w:hAnsi="宋体" w:eastAsia="宋体"/>
        </w:rPr>
        <w:t>(1)根据材料,概括清朝管理边疆民族地区政策的特点。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Times New Roman" w:hAnsi="宋体" w:eastAsia="宋体"/>
        </w:rPr>
        <w:t>(2)根据材料,简析清朝管理边疆民族地区政策的作用。</w:t>
      </w:r>
    </w:p>
    <w:p>
      <w:pPr>
        <w:jc w:val="both"/>
        <w:rPr>
          <w:rFonts w:hint="default" w:ascii="华文黑体" w:hAnsi="华文黑体" w:eastAsia="华文黑体" w:cs="华文黑体"/>
          <w:b/>
          <w:bCs/>
          <w:sz w:val="28"/>
          <w:szCs w:val="36"/>
        </w:rPr>
      </w:pPr>
    </w:p>
    <w:p>
      <w:pPr>
        <w:jc w:val="both"/>
        <w:rPr>
          <w:rFonts w:hint="default" w:ascii="华文黑体" w:hAnsi="华文黑体" w:eastAsia="华文黑体" w:cs="华文黑体"/>
          <w:b/>
          <w:bCs/>
          <w:sz w:val="28"/>
          <w:szCs w:val="36"/>
        </w:rPr>
      </w:pPr>
      <w:bookmarkStart w:id="0" w:name="_GoBack"/>
      <w:bookmarkEnd w:id="0"/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Times New Roman" w:hAnsi="Times New Roman" w:eastAsia="宋体" w:cs="Times New Roman"/>
        </w:rPr>
        <w:t>2</w:t>
      </w:r>
      <w:r>
        <w:rPr>
          <w:rFonts w:ascii="Times New Roman" w:hAnsi="Times New Roman" w:eastAsia="宋体" w:cs="Times New Roman"/>
        </w:rPr>
        <w:t>.</w:t>
      </w:r>
      <w:r>
        <w:rPr>
          <w:rFonts w:ascii="Times New Roman" w:hAnsi="宋体" w:eastAsia="宋体"/>
        </w:rPr>
        <w:t>阅读材料,完成下列要求。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Arial" w:hAnsi="黑体" w:eastAsia="黑体"/>
        </w:rPr>
        <w:t>材料</w:t>
      </w:r>
      <w:r>
        <w:rPr>
          <w:rFonts w:ascii="Times New Roman" w:hAnsi="宋体" w:eastAsia="宋体"/>
        </w:rPr>
        <w:t>　</w:t>
      </w:r>
      <w:r>
        <w:rPr>
          <w:rFonts w:ascii="Times New Roman" w:hAnsi="楷体" w:eastAsia="楷体"/>
        </w:rPr>
        <w:t>清初为便于统治明代故土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仍沿用明制承宣布政使司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仅改北直隶为直隶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南直隶为江南承宣布政使司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即废除了南京为留都的地位。康熙初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改布政使司为省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因认为全国区划为十五省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其制过大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所以分湖广省为湖南、湖北两省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分江南省为江苏、安徽两省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分陕西省为陕西、甘肃两省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汉地被析为十八省。在边疆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清朝施行与内地不同的行政区划制度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乃由中央设辖区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委派重臣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如在东北地区设奉天</w:t>
      </w:r>
      <w:r>
        <w:rPr>
          <w:rFonts w:ascii="Times New Roman" w:hAnsi="宋体" w:eastAsia="宋体"/>
        </w:rPr>
        <w:t>(</w:t>
      </w:r>
      <w:r>
        <w:rPr>
          <w:rFonts w:ascii="Times New Roman" w:hAnsi="楷体" w:eastAsia="楷体"/>
        </w:rPr>
        <w:t>盛京</w:t>
      </w:r>
      <w:r>
        <w:rPr>
          <w:rFonts w:ascii="Times New Roman" w:hAnsi="宋体" w:eastAsia="宋体"/>
        </w:rPr>
        <w:t>)</w:t>
      </w:r>
      <w:r>
        <w:rPr>
          <w:rFonts w:ascii="Times New Roman" w:hAnsi="楷体" w:eastAsia="楷体"/>
        </w:rPr>
        <w:t>、吉林、黑龙江及在外蒙古设乌里雅苏台、在新疆设伊犁</w:t>
      </w:r>
      <w:r>
        <w:rPr>
          <w:rFonts w:ascii="Times New Roman" w:hAnsi="宋体" w:eastAsia="宋体"/>
        </w:rPr>
        <w:t>5</w:t>
      </w:r>
      <w:r>
        <w:rPr>
          <w:rFonts w:ascii="Times New Roman" w:hAnsi="楷体" w:eastAsia="楷体"/>
        </w:rPr>
        <w:t>个将军辖区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但伊犁将军一直待在中原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在西藏、西宁设办事大臣辖区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蒙古则采取其民族的盟旗制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连同内地</w:t>
      </w:r>
      <w:r>
        <w:rPr>
          <w:rFonts w:ascii="Times New Roman" w:hAnsi="宋体" w:eastAsia="宋体"/>
        </w:rPr>
        <w:t>18</w:t>
      </w:r>
      <w:r>
        <w:rPr>
          <w:rFonts w:ascii="Times New Roman" w:hAnsi="楷体" w:eastAsia="楷体"/>
        </w:rPr>
        <w:t>省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全国共为</w:t>
      </w:r>
      <w:r>
        <w:rPr>
          <w:rFonts w:ascii="Times New Roman" w:hAnsi="宋体" w:eastAsia="宋体"/>
        </w:rPr>
        <w:t>26</w:t>
      </w:r>
      <w:r>
        <w:rPr>
          <w:rFonts w:ascii="Times New Roman" w:hAnsi="楷体" w:eastAsia="楷体"/>
        </w:rPr>
        <w:t>个政区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为中国现代省的政区划分奠定了基础。清代省以下的各级行政区划单位基本上是沿用明制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省下辖府和直隶州</w:t>
      </w:r>
      <w:r>
        <w:rPr>
          <w:rFonts w:ascii="Times New Roman" w:hAnsi="宋体" w:eastAsia="宋体"/>
        </w:rPr>
        <w:t>,</w:t>
      </w:r>
      <w:r>
        <w:rPr>
          <w:rFonts w:ascii="Times New Roman" w:hAnsi="楷体" w:eastAsia="楷体"/>
        </w:rPr>
        <w:t>府下领散州和县。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jc w:val="right"/>
        <w:rPr>
          <w:rFonts w:ascii="Times New Roman" w:hAnsi="宋体" w:eastAsia="宋体"/>
        </w:rPr>
      </w:pPr>
      <w:r>
        <w:rPr>
          <w:rFonts w:ascii="Times New Roman" w:hAnsi="Times New Roman" w:eastAsia="宋体" w:cs="Times New Roman"/>
        </w:rPr>
        <w:t>——</w:t>
      </w:r>
      <w:r>
        <w:rPr>
          <w:rFonts w:ascii="Times New Roman" w:hAnsi="楷体" w:eastAsia="楷体"/>
        </w:rPr>
        <w:t>摘编自白寿彝总主编《中国通史》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Times New Roman" w:hAnsi="宋体" w:eastAsia="宋体"/>
        </w:rPr>
        <w:t>(1)根据材料,概括清代行政区划设置的特点。</w:t>
      </w:r>
    </w:p>
    <w:p>
      <w:pPr>
        <w:tabs>
          <w:tab w:val="left" w:pos="1621"/>
          <w:tab w:val="left" w:pos="2914"/>
          <w:tab w:val="left" w:pos="3997"/>
          <w:tab w:val="left" w:pos="5074"/>
        </w:tabs>
        <w:spacing w:line="360" w:lineRule="auto"/>
        <w:rPr>
          <w:rFonts w:ascii="Times New Roman" w:hAnsi="宋体" w:eastAsia="宋体"/>
        </w:rPr>
      </w:pPr>
      <w:r>
        <w:rPr>
          <w:rFonts w:ascii="Times New Roman" w:hAnsi="宋体" w:eastAsia="宋体"/>
        </w:rPr>
        <w:t>(2)根据材料并结合所学知识,分析清代行政区划的历史影响。</w:t>
      </w:r>
    </w:p>
    <w:p>
      <w:pPr>
        <w:jc w:val="both"/>
        <w:rPr>
          <w:rFonts w:hint="default" w:ascii="华文黑体" w:hAnsi="华文黑体" w:eastAsia="华文黑体" w:cs="华文黑体"/>
          <w:b/>
          <w:bCs/>
          <w:sz w:val="28"/>
          <w:szCs w:val="36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华文黑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">
    <w:altName w:val="汉仪仿宋KW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黑体">
    <w:altName w:val="汉仪中黑KW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MS Mincho">
    <w:altName w:val="Hiragino Sans"/>
    <w:panose1 w:val="02020609040205080304"/>
    <w:charset w:val="00"/>
    <w:family w:val="modern"/>
    <w:pitch w:val="default"/>
    <w:sig w:usb0="00000000" w:usb1="00000000" w:usb2="00000012" w:usb3="00000000" w:csb0="0002009F" w:csb1="00000000"/>
  </w:font>
  <w:font w:name="楷体">
    <w:altName w:val="汉仪楷体KW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汉仪仿宋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iragino Sans">
    <w:panose1 w:val="020B0300000000000000"/>
    <w:charset w:val="80"/>
    <w:family w:val="auto"/>
    <w:pitch w:val="default"/>
    <w:sig w:usb0="E00002FF" w:usb1="7AE7FFFF" w:usb2="00000012" w:usb3="00000000" w:csb0="0002000D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NEU-BZ-S92">
    <w:altName w:val="宋体-简"/>
    <w:panose1 w:val="00000000000000000000"/>
    <w:charset w:val="86"/>
    <w:family w:val="script"/>
    <w:pitch w:val="default"/>
    <w:sig w:usb0="00000000" w:usb1="00000000" w:usb2="000A005E" w:usb3="00000000" w:csb0="003C0041" w:csb1="00000000"/>
  </w:font>
  <w:font w:name="Arial">
    <w:panose1 w:val="020B0604020202090204"/>
    <w:charset w:val="00"/>
    <w:family w:val="swiss"/>
    <w:pitch w:val="default"/>
    <w:sig w:usb0="E0000AFF" w:usb1="00007843" w:usb2="00000001" w:usb3="00000000" w:csb0="400001BF" w:csb1="DFF7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NEU-BZ">
    <w:altName w:val="宋体-简"/>
    <w:panose1 w:val="00000000000000000000"/>
    <w:charset w:val="86"/>
    <w:family w:val="script"/>
    <w:pitch w:val="default"/>
    <w:sig w:usb0="00000000" w:usb1="00000000" w:usb2="000A005E" w:usb3="00000000" w:csb0="003C0041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特粗光辉简体">
    <w:altName w:val="苹方-简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altName w:val="汉仪旗黑KW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汉仪旗黑KW">
    <w:panose1 w:val="00020600040101010101"/>
    <w:charset w:val="86"/>
    <w:family w:val="auto"/>
    <w:pitch w:val="default"/>
    <w:sig w:usb0="A00002BF" w:usb1="3ACF7CFA" w:usb2="00000016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9A53F9F2"/>
    <w:rsid w:val="0FBB6B91"/>
    <w:rsid w:val="2FEFC975"/>
    <w:rsid w:val="69AF4B37"/>
    <w:rsid w:val="79FB96CC"/>
    <w:rsid w:val="7F39DD89"/>
    <w:rsid w:val="9A53F9F2"/>
    <w:rsid w:val="D9EA9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Office_1.9.1.2994_F1E327BC-269C-435d-A152-05C5408002CA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2020-02-05T14:01:00Z</dcterms:created>
  <dc:creator>zhaoyujie</dc:creator>
  <cp:lastModifiedBy>zhaoyujie</cp:lastModifiedBy>
  <dcterms:modified xsi:type="dcterms:W3CDTF">2020-02-05T14:09:59Z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