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E2" w:rsidRPr="0086644C" w:rsidRDefault="0086644C" w:rsidP="0086644C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86644C">
        <w:rPr>
          <w:rFonts w:ascii="黑体" w:eastAsia="黑体" w:hAnsi="黑体" w:cs="黑体" w:hint="eastAsia"/>
          <w:sz w:val="32"/>
          <w:szCs w:val="32"/>
        </w:rPr>
        <w:t>高三政治第10</w:t>
      </w:r>
      <w:r w:rsidR="008C517F" w:rsidRPr="0086644C">
        <w:rPr>
          <w:rFonts w:ascii="黑体" w:eastAsia="黑体" w:hAnsi="黑体" w:cs="黑体" w:hint="eastAsia"/>
          <w:sz w:val="32"/>
          <w:szCs w:val="32"/>
        </w:rPr>
        <w:t>课时</w:t>
      </w:r>
      <w:r w:rsidRPr="0086644C">
        <w:rPr>
          <w:rFonts w:ascii="黑体" w:eastAsia="黑体" w:hAnsi="黑体" w:cs="黑体" w:hint="eastAsia"/>
          <w:sz w:val="32"/>
          <w:szCs w:val="32"/>
        </w:rPr>
        <w:t>《认识论》重难点课后</w:t>
      </w:r>
      <w:r w:rsidR="008C517F" w:rsidRPr="0086644C">
        <w:rPr>
          <w:rFonts w:ascii="黑体" w:eastAsia="黑体" w:hAnsi="黑体" w:cs="黑体" w:hint="eastAsia"/>
          <w:sz w:val="32"/>
          <w:szCs w:val="32"/>
        </w:rPr>
        <w:t>作业</w:t>
      </w:r>
    </w:p>
    <w:p w:rsidR="001B3DE2" w:rsidRPr="0086644C" w:rsidRDefault="008C517F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1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．山脊上，代表中华悠久文化的长城蜿蜒曲折；山腰间，詹天佑创造性设计的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“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人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字形铁路折回而上；地表下，运用当代中国先进技术建造的京张高铁穿行向前。为避免破坏沿线文物和环境，京张高铁建设者采用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“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精准微爆破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等新技术，在地下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100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多米建造隧道，做到施工地表零沉降，实现了高铁与环境和谐共存。下列分析正确的是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．京张高铁与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“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人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字形铁路是新旧事物的关系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．工程设计与施工水平的提高说明实践活动具有社会历史性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．建设者的创新意识是高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铁成功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建设的首要前提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．高铁与环境和谐共存体现了矛盾同一性是推动事物发展的动力</w:t>
      </w:r>
    </w:p>
    <w:p w:rsidR="0086644C" w:rsidRPr="0086644C" w:rsidRDefault="0086644C" w:rsidP="0086644C">
      <w:pPr>
        <w:spacing w:line="380" w:lineRule="exact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80" w:lineRule="exact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2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．历史学家通常认为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,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在审视复杂历史问题时不能轻率地下结论。这一观点的合理性在于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①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不同的认识主体对复杂历史问题的认识总是不同的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②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真理不会停止前进的步伐，而是在发展中不断超越自身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②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复杂历史问题本质的暴露和展现必然需要一个较长的过程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④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人们对复杂历史问题的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认识受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所处社会实践水平的限制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②③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②④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③④</w:t>
      </w:r>
    </w:p>
    <w:p w:rsidR="0086644C" w:rsidRPr="0086644C" w:rsidRDefault="0086644C" w:rsidP="0086644C">
      <w:pPr>
        <w:spacing w:line="380" w:lineRule="exact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3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．在牛顿经典力学问世后的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200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多年时间里，许多科学家认为，整个宇宙都要服从这一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“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永恒定律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。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20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世纪初，爱因斯坦发现牛顿的运动定律只有在宏观低速的情况下才是正确的，牛顿力学的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“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永恒定律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”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神话被告打破。这启示我们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．真理是主观与客观的具体的历史的统一  </w:t>
      </w:r>
      <w:r w:rsidR="0086644C"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       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．人们对同一确定对象会有多个真理性认识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．对同一事物的判断因人的主观性而产生差异  </w:t>
      </w:r>
      <w:r w:rsidR="0086644C"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   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．真理适用于任何已知和确定的历史条件和范围</w:t>
      </w:r>
    </w:p>
    <w:p w:rsidR="0086644C" w:rsidRPr="0086644C" w:rsidRDefault="0086644C" w:rsidP="0086644C">
      <w:pPr>
        <w:spacing w:line="380" w:lineRule="exact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4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．“真理与谬误只差一步。人发怒时好把真理说成谬误，人高兴时又把谬误当成真理。”这句话说明真理和谬误存在一定关系。关于真理与谬误的关系，从哲学角度看，下列说法正确的是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①真理和谬误都是主观与客观的具体的历史的统一  </w:t>
      </w:r>
      <w:r w:rsidR="0086644C"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    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②真理和谬误往往相伴而行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③实践是检验认识真理性的唯一标准  </w:t>
      </w:r>
      <w:r w:rsidR="0086644C"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                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④在一定条件下真理和谬误可以相互转化。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．②④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．③④</w:t>
      </w:r>
    </w:p>
    <w:p w:rsidR="0086644C" w:rsidRPr="0086644C" w:rsidRDefault="0086644C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5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作为一门致力于模拟、延伸和扩展人的智能的技术科学，人工智能早已超越了科学家最初的想象，进入了一个高速发展的“井喷期”，正在深刻改变人类的生产生活方式，推动社会形态从数字化、网络化向智能化加速跃升。这说明</w:t>
      </w:r>
    </w:p>
    <w:p w:rsidR="0086644C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 w:hint="eastAsia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①人工智能可以能动地认识世界和能动地改造世界  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②人工智能能够模拟人的思维，改变事物的固有属性</w:t>
      </w:r>
    </w:p>
    <w:p w:rsidR="0086644C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 w:hint="eastAsia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③人工智能的发展将进一步推动人类认识水平的提高  </w:t>
      </w:r>
    </w:p>
    <w:p w:rsidR="001B3DE2" w:rsidRPr="0086644C" w:rsidRDefault="008C517F" w:rsidP="0086644C">
      <w:pPr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④人工智能能够延伸人的认识器官，推动实践活动的发展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8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．②③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．③④</w:t>
      </w:r>
    </w:p>
    <w:p w:rsidR="0086644C" w:rsidRDefault="0086644C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86644C" w:rsidRPr="0086644C" w:rsidRDefault="0086644C" w:rsidP="0086644C">
      <w:pPr>
        <w:spacing w:line="380" w:lineRule="exact"/>
        <w:ind w:left="315" w:hangingChars="150" w:hanging="315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4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lastRenderedPageBreak/>
        <w:t>6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“海水稻”是在海边滩涂等盐碱地生长的特殊水稻，具有不需施肥、抗病虫、耐盐碱的独特生长特性，营养价值高，是天然的绿色有机作物，但普遍存在产量低，米质差等缺点。随着多次多地试种，相关技术难题不断攻克。2017年秋，袁隆平主持的青岛海水稻研发中心最高亩产达到62095公斤。2018年海南南繁基地从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上千份海水稻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材料中挑选出176份优良品种，首次在全国五个主要类型的盐碱地试种，在不同的地理条件下检验这176份海水稻材料的最终产量和品质。人类研发海水稻的过程体现了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．改造自然的成功取决于科研人员主观能动性的发挥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．事物运动变化的绝对性和静止相对性是辩证统的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．人们对一个事物的认识往往要经过多次反复才能完成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．只有被实践证明的认识才能对事物发展起推动作用</w:t>
      </w:r>
    </w:p>
    <w:p w:rsidR="0086644C" w:rsidRPr="0086644C" w:rsidRDefault="0086644C" w:rsidP="0086644C">
      <w:pPr>
        <w:spacing w:line="340" w:lineRule="exact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40" w:lineRule="exact"/>
        <w:ind w:left="315" w:hangingChars="150" w:hanging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7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．联合国关于发展的观念经历了一个演变过程：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20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世纪五六十年代把发展归结为经济增长；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20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世纪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70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年代把发展看作是经济增长、经济结构优化和社会变革；从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20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世纪八九十年代开始，把发展理解为注重资源节约、环境保护的可持续发展和以人为中心的综合发展。联合国关于发展的观念演变进一步证实了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①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认识的不断完善决定着实践的不断深化  </w:t>
      </w:r>
      <w:r w:rsidR="0086644C"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      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②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认识受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认识对象本质和属性暴露程度的制约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③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认识的发展具有与认识主题无关的客观规律性  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④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认识的发展是一个不断继承和超越已有认识成果的过程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40" w:lineRule="exact"/>
        <w:ind w:firstLineChars="150" w:firstLine="315"/>
        <w:jc w:val="left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①③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②④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>③④</w:t>
      </w:r>
    </w:p>
    <w:p w:rsidR="001B3DE2" w:rsidRPr="0086644C" w:rsidRDefault="008C517F" w:rsidP="0086644C">
      <w:pPr>
        <w:spacing w:line="34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8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研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学旅行可以拓宽学生视野，激发学习兴趣。教育部《关于推进中小学生研学旅行的意见》要求各中小学要结合当地实际，把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研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学旅行纳入学校教育教学计划，逐步建立适合各阶段学生的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研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学旅行活动课程体系。构建这一课程体系的哲学依据有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①兴趣对认识活动起决定作用，激发兴趣有助于发挥学生的能动性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②获取知识有多种途径，跳出书本有助于学生获取更多知识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③学习是直接现实性的活动，离开直观感受学生就无法获得正确认识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④实践是沟通主客观的桥梁，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研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学旅行有助于学生在亲身实践中验证知识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．②④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．③④</w:t>
      </w:r>
    </w:p>
    <w:p w:rsidR="0086644C" w:rsidRPr="0086644C" w:rsidRDefault="0086644C" w:rsidP="0086644C">
      <w:pPr>
        <w:spacing w:line="340" w:lineRule="exact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40" w:lineRule="exact"/>
        <w:ind w:left="315" w:hangingChars="150" w:hanging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9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．2019年1月3日上午10点26分，“嫦娥四号”探测器成功着陆在月球背面东经177.6度、南纬45.5度附近的预选着陆区，并通过“鹊桥”中继星传回了世界第一张近距离拍摄的月背影像图，揭开了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古老月背的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神秘面纱。这表明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．人类在实践中改进了认识工具，增强了认识世界的能力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．科学研究对未知世界的探索使得人类的认识无限接近真理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．充分发挥主观能动性可以获取事物的本质和规律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．在认识规律的基础上进一步改造规律为人类服务</w:t>
      </w:r>
    </w:p>
    <w:p w:rsidR="0086644C" w:rsidRPr="0086644C" w:rsidRDefault="0086644C" w:rsidP="0086644C">
      <w:pPr>
        <w:spacing w:line="340" w:lineRule="exact"/>
        <w:ind w:left="420" w:hangingChars="200" w:hanging="420"/>
        <w:jc w:val="left"/>
        <w:textAlignment w:val="center"/>
        <w:rPr>
          <w:rFonts w:asciiTheme="minorEastAsia" w:hAnsiTheme="minorEastAsia" w:cs="Times New Roman" w:hint="eastAsia"/>
          <w:color w:val="000000" w:themeColor="text1"/>
          <w:szCs w:val="21"/>
        </w:rPr>
      </w:pPr>
    </w:p>
    <w:p w:rsidR="001B3DE2" w:rsidRPr="0086644C" w:rsidRDefault="008C517F" w:rsidP="0086644C">
      <w:pPr>
        <w:spacing w:line="340" w:lineRule="exact"/>
        <w:ind w:left="420" w:hangingChars="200" w:hanging="420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10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应对气候变暖，关乎地球上每个国家和地区，关乎每一个人。早在1898年，就有科学家指出，燃烧煤炭和石油产生的二氧化碳将导致地球变暖。随后．人类为防止地球变暖进行了漫长的探究和实践。时至2009年，大气中二氧化碳已由工业革命前的280ppm（1ppm为百万分之一)升至390ppm，然而在哥本哈根会议上，各国在应对气候变化问题上</w:t>
      </w:r>
      <w:proofErr w:type="gramStart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让然认识</w:t>
      </w:r>
      <w:proofErr w:type="gramEnd"/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 xml:space="preserve">不一。人类对气候的认识，哥本哈根会议不是终点新的起点。材料体现的哲理有 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①世界时复杂的和不断运动变化的，人的认识是无止境的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②认识总是要受到主客观条件的限制，人的认识具有反复性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③认识是一个圆圈式的循环往复过程，人的认识具有规律性</w:t>
      </w:r>
    </w:p>
    <w:p w:rsidR="001B3DE2" w:rsidRPr="0086644C" w:rsidRDefault="008C517F" w:rsidP="0086644C">
      <w:pPr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④本质的暴露和展开有个过程，人的认识永远不能达到真理</w:t>
      </w:r>
    </w:p>
    <w:p w:rsidR="001B3DE2" w:rsidRPr="0086644C" w:rsidRDefault="008C517F" w:rsidP="0086644C">
      <w:pPr>
        <w:tabs>
          <w:tab w:val="left" w:pos="2076"/>
          <w:tab w:val="left" w:pos="4153"/>
          <w:tab w:val="left" w:pos="6229"/>
        </w:tabs>
        <w:spacing w:line="340" w:lineRule="exact"/>
        <w:ind w:firstLineChars="150" w:firstLine="315"/>
        <w:jc w:val="left"/>
        <w:textAlignment w:val="center"/>
        <w:rPr>
          <w:rFonts w:asciiTheme="minorEastAsia" w:hAnsiTheme="minorEastAsia" w:cs="宋体"/>
          <w:color w:val="000000" w:themeColor="text1"/>
          <w:szCs w:val="21"/>
        </w:rPr>
      </w:pPr>
      <w:r w:rsidRPr="0086644C">
        <w:rPr>
          <w:rFonts w:asciiTheme="minorEastAsia" w:hAnsiTheme="minorEastAsia" w:cs="Times New Roman"/>
          <w:color w:val="000000" w:themeColor="text1"/>
          <w:szCs w:val="21"/>
        </w:rPr>
        <w:t>A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．①②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B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．②③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C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．②④</w:t>
      </w:r>
      <w:r w:rsidRPr="0086644C">
        <w:rPr>
          <w:rFonts w:asciiTheme="minorEastAsia" w:hAnsiTheme="minorEastAsia" w:cs="Times New Roman"/>
          <w:color w:val="000000" w:themeColor="text1"/>
          <w:szCs w:val="21"/>
        </w:rPr>
        <w:tab/>
        <w:t>D</w:t>
      </w:r>
      <w:r w:rsidRPr="0086644C">
        <w:rPr>
          <w:rFonts w:asciiTheme="minorEastAsia" w:hAnsiTheme="minorEastAsia" w:cs="宋体" w:hint="eastAsia"/>
          <w:color w:val="000000" w:themeColor="text1"/>
          <w:szCs w:val="21"/>
        </w:rPr>
        <w:t>．③④</w:t>
      </w:r>
    </w:p>
    <w:p w:rsidR="001B3DE2" w:rsidRPr="0086644C" w:rsidRDefault="001B3DE2" w:rsidP="0086644C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1B3DE2" w:rsidRPr="0086644C" w:rsidSect="00303B30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34" w:rsidRDefault="00CF7834" w:rsidP="00AB3079">
      <w:r>
        <w:separator/>
      </w:r>
    </w:p>
  </w:endnote>
  <w:endnote w:type="continuationSeparator" w:id="0">
    <w:p w:rsidR="00CF7834" w:rsidRDefault="00CF7834" w:rsidP="00AB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34" w:rsidRDefault="00CF7834" w:rsidP="00AB3079">
      <w:r>
        <w:separator/>
      </w:r>
    </w:p>
  </w:footnote>
  <w:footnote w:type="continuationSeparator" w:id="0">
    <w:p w:rsidR="00CF7834" w:rsidRDefault="00CF7834" w:rsidP="00AB3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06C0102"/>
    <w:rsid w:val="000A5F96"/>
    <w:rsid w:val="001B3DE2"/>
    <w:rsid w:val="00303B30"/>
    <w:rsid w:val="005A07DC"/>
    <w:rsid w:val="0061526B"/>
    <w:rsid w:val="006E3500"/>
    <w:rsid w:val="0086644C"/>
    <w:rsid w:val="008C517F"/>
    <w:rsid w:val="0093561A"/>
    <w:rsid w:val="00AB3079"/>
    <w:rsid w:val="00AF3AF0"/>
    <w:rsid w:val="00B3018A"/>
    <w:rsid w:val="00CF7834"/>
    <w:rsid w:val="0A1171F9"/>
    <w:rsid w:val="206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30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3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30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代超</dc:creator>
  <cp:lastModifiedBy>Administrator</cp:lastModifiedBy>
  <cp:revision>7</cp:revision>
  <dcterms:created xsi:type="dcterms:W3CDTF">2020-02-08T03:57:00Z</dcterms:created>
  <dcterms:modified xsi:type="dcterms:W3CDTF">2020-02-13T13:51:00Z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