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left"/>
        <w:rPr>
          <w:rFonts w:ascii="&amp;quot" w:cs="&amp;quot" w:hAnsi="&amp;quot" w:eastAsia="&amp;quot"/>
          <w:u w:color="423b3b"/>
          <w:rtl w:val="0"/>
          <w:lang w:val="en-US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left"/>
        <w:rPr>
          <w:rFonts w:ascii="微软雅黑" w:cs="微软雅黑" w:hAnsi="微软雅黑" w:eastAsia="微软雅黑"/>
          <w:sz w:val="22"/>
          <w:szCs w:val="22"/>
          <w:u w:color="ff0000"/>
          <w:rtl w:val="0"/>
        </w:rPr>
      </w:pPr>
      <w:r>
        <w:rPr>
          <w:rFonts w:ascii="宋体" w:cs="宋体" w:hAnsi="宋体" w:eastAsia="宋体"/>
          <w:sz w:val="22"/>
          <w:szCs w:val="22"/>
          <w:u w:color="ff0000"/>
          <w:rtl w:val="0"/>
          <w:lang w:val="zh-TW" w:eastAsia="zh-TW"/>
        </w:rPr>
        <w:t>答案：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zh-TW" w:eastAsia="zh-TW"/>
        </w:rPr>
        <w:t>（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en-US"/>
        </w:rPr>
        <w:t>1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zh-TW" w:eastAsia="zh-TW"/>
        </w:rPr>
        <w:t>）微量</w:t>
      </w:r>
      <w:r>
        <w:rPr>
          <w:rFonts w:ascii="&amp;quot" w:cs="&amp;quot" w:hAnsi="&amp;quot" w:eastAsia="&amp;quot"/>
          <w:sz w:val="22"/>
          <w:szCs w:val="22"/>
          <w:u w:color="ff0000"/>
          <w:rtl w:val="0"/>
          <w:lang w:val="en-US"/>
        </w:rPr>
        <w:br w:type="textWrapping"/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zh-TW" w:eastAsia="zh-TW"/>
        </w:rPr>
        <w:t>（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en-US"/>
        </w:rPr>
        <w:t>2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zh-TW" w:eastAsia="zh-TW"/>
        </w:rPr>
        <w:t>）抑制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en-US"/>
        </w:rPr>
        <w:t>         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zh-TW" w:eastAsia="zh-TW"/>
        </w:rPr>
        <w:t>信息传递</w:t>
      </w:r>
      <w:r>
        <w:rPr>
          <w:rFonts w:ascii="&amp;quot" w:cs="&amp;quot" w:hAnsi="&amp;quot" w:eastAsia="&amp;quot"/>
          <w:sz w:val="22"/>
          <w:szCs w:val="22"/>
          <w:u w:color="ff0000"/>
          <w:rtl w:val="0"/>
          <w:lang w:val="en-US"/>
        </w:rPr>
        <w:br w:type="textWrapping"/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zh-TW" w:eastAsia="zh-TW"/>
        </w:rPr>
        <w:t>（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en-US"/>
        </w:rPr>
        <w:t>3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zh-TW" w:eastAsia="zh-TW"/>
        </w:rPr>
        <w:t>）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en-US"/>
        </w:rPr>
        <w:t>①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en-US"/>
        </w:rPr>
        <w:t>A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en-US"/>
        </w:rPr>
        <w:t>         ②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zh-TW" w:eastAsia="zh-TW"/>
        </w:rPr>
        <w:t>无明显抑制作用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en-US"/>
        </w:rPr>
        <w:t>       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zh-TW" w:eastAsia="zh-TW"/>
        </w:rPr>
        <w:t>通过促进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en-US"/>
        </w:rPr>
        <w:t>NAA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zh-TW" w:eastAsia="zh-TW"/>
        </w:rPr>
        <w:t>的作用抑制侧枝生长</w:t>
      </w:r>
    </w:p>
    <w:p>
      <w:pPr>
        <w:pStyle w:val="默认"/>
        <w:numPr>
          <w:ilvl w:val="0"/>
          <w:numId w:val="3"/>
        </w:numPr>
        <w:jc w:val="left"/>
        <w:rPr>
          <w:rFonts w:ascii="微软雅黑" w:cs="微软雅黑" w:hAnsi="微软雅黑" w:eastAsia="微软雅黑"/>
          <w:u w:color="ff0000"/>
          <w:lang w:val="en-US"/>
        </w:rPr>
      </w:pPr>
      <w:r>
        <w:rPr>
          <w:rFonts w:ascii="微软雅黑" w:cs="微软雅黑" w:hAnsi="微软雅黑" w:eastAsia="微软雅黑"/>
          <w:u w:color="ff0000"/>
          <w:rtl w:val="0"/>
          <w:lang w:val="en-US"/>
        </w:rPr>
        <w:t>①</w:t>
      </w:r>
    </w:p>
    <w:tbl>
      <w:tblPr>
        <w:tblW w:w="8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15"/>
        <w:gridCol w:w="1940"/>
        <w:gridCol w:w="2060"/>
        <w:gridCol w:w="1710"/>
        <w:gridCol w:w="1597"/>
      </w:tblGrid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tabs>
                <w:tab w:val="left" w:pos="420"/>
                <w:tab w:val="left" w:pos="8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u w:val="none" w:color="ff0000"/>
                <w:vertAlign w:val="baseline"/>
                <w:rtl w:val="0"/>
                <w:lang w:val="zh-TW" w:eastAsia="zh-TW"/>
              </w:rPr>
              <w:t>组别</w:t>
            </w:r>
          </w:p>
        </w:tc>
        <w:tc>
          <w:tcPr>
            <w:tcW w:type="dxa" w:w="57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u w:val="none" w:color="ff0000"/>
                <w:vertAlign w:val="baseline"/>
                <w:rtl w:val="0"/>
                <w:lang w:val="zh-TW" w:eastAsia="zh-TW"/>
              </w:rPr>
              <w:t>处理</w:t>
            </w:r>
          </w:p>
        </w:tc>
        <w:tc>
          <w:tcPr>
            <w:tcW w:type="dxa" w:w="1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tabs>
                <w:tab w:val="left" w:pos="420"/>
                <w:tab w:val="left" w:pos="840"/>
                <w:tab w:val="left" w:pos="12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u w:val="none" w:color="ff0000"/>
                <w:vertAlign w:val="baseline"/>
                <w:rtl w:val="0"/>
                <w:lang w:val="zh-TW" w:eastAsia="zh-TW"/>
              </w:rPr>
              <w:t>检测</w:t>
            </w:r>
          </w:p>
        </w:tc>
      </w:tr>
      <w:tr>
        <w:tblPrEx>
          <w:shd w:val="clear" w:color="auto" w:fill="d0ddef"/>
        </w:tblPrEx>
        <w:trPr>
          <w:trHeight w:val="663" w:hRule="atLeast"/>
        </w:trPr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tabs>
                <w:tab w:val="left" w:pos="420"/>
                <w:tab w:val="left" w:pos="8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u w:val="none" w:color="ff0000"/>
                <w:vertAlign w:val="baseline"/>
                <w:rtl w:val="0"/>
                <w:lang w:val="zh-TW" w:eastAsia="zh-TW"/>
              </w:rPr>
              <w:t>实验组</w:t>
            </w:r>
          </w:p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u w:val="single" w:color="ff0000"/>
                <w:vertAlign w:val="baseline"/>
                <w:rtl w:val="0"/>
                <w:lang w:val="zh-TW" w:eastAsia="zh-TW"/>
              </w:rPr>
              <w:t>放射性标记的</w:t>
            </w: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u w:val="single" w:color="ff0000"/>
                <w:vertAlign w:val="baseline"/>
                <w:rtl w:val="0"/>
                <w:lang w:val="en-US"/>
              </w:rPr>
              <w:t>NAA(</w:t>
            </w: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u w:val="single" w:color="ff0000"/>
                <w:vertAlign w:val="baseline"/>
                <w:rtl w:val="0"/>
                <w:lang w:val="zh-TW" w:eastAsia="zh-TW"/>
              </w:rPr>
              <w:t>或生长素</w:t>
            </w: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u w:val="none" w:color="ff0000"/>
                <w:vertAlign w:val="baseline"/>
                <w:rtl w:val="0"/>
                <w:lang w:val="zh-TW" w:eastAsia="zh-TW"/>
              </w:rPr>
              <w:t>）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u w:val="single" w:color="ff0000"/>
                <w:vertAlign w:val="baseline"/>
                <w:rtl w:val="0"/>
                <w:lang w:val="zh-TW" w:eastAsia="zh-TW"/>
              </w:rPr>
              <w:t>加入</w:t>
            </w: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u w:val="single" w:color="ff0000"/>
                <w:vertAlign w:val="baseline"/>
                <w:rtl w:val="0"/>
                <w:lang w:val="en-US"/>
              </w:rPr>
              <w:t>GR24</w:t>
            </w:r>
          </w:p>
        </w:tc>
        <w:tc>
          <w:tcPr>
            <w:tcW w:type="dxa" w:w="1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2" w:hRule="atLeast"/>
        </w:trPr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tabs>
                <w:tab w:val="left" w:pos="420"/>
                <w:tab w:val="left" w:pos="8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u w:val="none" w:color="ff0000"/>
                <w:vertAlign w:val="baseline"/>
                <w:rtl w:val="0"/>
                <w:lang w:val="zh-TW" w:eastAsia="zh-TW"/>
              </w:rPr>
              <w:t>对照组</w:t>
            </w:r>
          </w:p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u w:val="single" w:color="ff0000"/>
                <w:vertAlign w:val="baseline"/>
                <w:rtl w:val="0"/>
                <w:lang w:val="zh-TW" w:eastAsia="zh-TW"/>
              </w:rPr>
              <w:t>在主茎上端施加</w:t>
            </w: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u w:val="single" w:color="ff0000"/>
                <w:vertAlign w:val="baseline"/>
                <w:rtl w:val="0"/>
                <w:lang w:val="en-US"/>
              </w:rPr>
              <w:t>NAA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u w:val="single" w:color="ff0000"/>
                <w:vertAlign w:val="baseline"/>
                <w:rtl w:val="0"/>
                <w:lang w:val="zh-TW" w:eastAsia="zh-TW"/>
              </w:rPr>
              <w:t>不加</w:t>
            </w: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u w:val="single" w:color="ff0000"/>
                <w:vertAlign w:val="baseline"/>
                <w:rtl w:val="0"/>
                <w:lang w:val="en-US"/>
              </w:rPr>
              <w:t>GR24</w:t>
            </w:r>
          </w:p>
        </w:tc>
        <w:tc>
          <w:tcPr>
            <w:tcW w:type="dxa" w:w="1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默认"/>
        <w:widowControl w:val="0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sz w:val="24"/>
          <w:szCs w:val="24"/>
          <w:u w:color="ff0000"/>
          <w:rtl w:val="0"/>
          <w:lang w:val="en-US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left"/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en-US"/>
        </w:rPr>
      </w:pP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en-US"/>
        </w:rPr>
        <w:t>      </w:t>
      </w: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left"/>
        <w:rPr>
          <w:rtl w:val="0"/>
        </w:rPr>
      </w:pP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en-US"/>
        </w:rPr>
        <w:t> ②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zh-TW" w:eastAsia="zh-TW"/>
        </w:rPr>
        <w:t xml:space="preserve"> 顶芽产生的生长素沿着主茎极性运输时，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en-US"/>
        </w:rPr>
        <w:t>GR24</w:t>
      </w:r>
      <w:r>
        <w:rPr>
          <w:rFonts w:ascii="微软雅黑" w:cs="微软雅黑" w:hAnsi="微软雅黑" w:eastAsia="微软雅黑"/>
          <w:sz w:val="22"/>
          <w:szCs w:val="22"/>
          <w:u w:color="ff0000"/>
          <w:rtl w:val="0"/>
          <w:lang w:val="zh-TW" w:eastAsia="zh-TW"/>
        </w:rPr>
        <w:t>促进生长素运入侧芽。</w:t>
      </w:r>
      <w:r>
        <w:rPr>
          <w:rFonts w:ascii="微软雅黑" w:cs="微软雅黑" w:hAnsi="微软雅黑" w:eastAsia="微软雅黑"/>
          <w:sz w:val="22"/>
          <w:szCs w:val="22"/>
          <w:u w:color="423b3b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&amp;quot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  <w:font w:name="微软雅黑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导入的样式“1”"/>
  </w:abstractNum>
  <w:abstractNum w:abstractNumId="1">
    <w:multiLevelType w:val="hybridMultilevel"/>
    <w:styleLink w:val="已导入的样式“1”"/>
    <w:lvl w:ilvl="0">
      <w:start w:val="1"/>
      <w:numFmt w:val="decimal"/>
      <w:suff w:val="nothing"/>
      <w:lvlText w:val="%1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4"/>
    </w:lvlOverride>
  </w:num>
  <w:num w:numId="4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已导入的样式“1”">
    <w:name w:val="已导入的样式“1”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