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</w:pPr>
      <w:r>
        <w:t>光学实验作业</w:t>
      </w:r>
    </w:p>
    <w:p>
      <w:pPr>
        <w:pStyle w:val="191"/>
      </w:pPr>
      <w:r>
        <w:t xml:space="preserve">  </w:t>
      </w:r>
    </w:p>
    <w:p>
      <w:r>
        <w:rPr>
          <w:rFonts w:ascii="宋体" w:hAnsi="宋体"/>
          <w:b/>
          <w:sz w:val="21"/>
        </w:rPr>
        <w:t>一、单项选择题</w:t>
      </w:r>
    </w:p>
    <w:p>
      <w:pPr>
        <w:pStyle w:val="193"/>
      </w:pPr>
      <w:r>
        <w:t>1. 在用两面平行的玻璃砖测定玻璃折射率的实验中，其实验光路如图所示，对实验中的一些具体问题，下列意见正确的是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95"/>
        </w:rPr>
        <w:drawing>
          <wp:inline distT="0" distB="0" distL="114300" distR="114300">
            <wp:extent cx="13525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>A. 为了减少作图误差，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的距离应适当取大些</w:t>
      </w:r>
    </w:p>
    <w:p>
      <w:pPr>
        <w:pStyle w:val="197"/>
      </w:pPr>
      <w:r>
        <w:tab/>
      </w:r>
      <w:r>
        <w:t>B. 为减少测量误差，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的连线与玻璃砖界面的夹角应尽量大些</w:t>
      </w:r>
    </w:p>
    <w:p>
      <w:pPr>
        <w:pStyle w:val="197"/>
      </w:pPr>
      <w:r>
        <w:tab/>
      </w:r>
      <w:r>
        <w:t xml:space="preserve">C. 若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的距离较大时，通过玻璃砖会看不到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197"/>
      </w:pPr>
      <w:r>
        <w:tab/>
      </w:r>
      <w:r>
        <w:t xml:space="preserve">D. 若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连线与法线 </w:t>
      </w:r>
      <m:oMath>
        <m:r>
          <w:rPr>
            <w:rFonts w:ascii="Cambria Math" w:hAnsi="Cambria Math"/>
          </w:rPr>
          <m:t>NNʹ</m:t>
        </m:r>
      </m:oMath>
      <w:r>
        <w:t xml:space="preserve"> 夹角较大时，有可能在 </w:t>
      </w:r>
      <m:oMath>
        <m:r>
          <w:rPr>
            <w:rFonts w:ascii="Cambria Math" w:hAnsi="Cambria Math"/>
          </w:rPr>
          <m:t>bbʹ</m:t>
        </m:r>
      </m:oMath>
      <w:r>
        <w:t xml:space="preserve"> 面发生全反射，所以在 </w:t>
      </w:r>
      <m:oMath>
        <m:r>
          <w:rPr>
            <w:rFonts w:ascii="Cambria Math" w:hAnsi="Cambria Math"/>
          </w:rPr>
          <m:t>bbʹ</m:t>
        </m:r>
      </m:oMath>
      <w:r>
        <w:t xml:space="preserve"> 一侧就看不到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2. 【 </w:t>
      </w:r>
      <m:oMath>
        <m:r>
          <w:rPr>
            <w:rFonts w:ascii="Cambria Math" w:hAnsi="Cambria Math"/>
          </w:rPr>
          <m:t>2014</m:t>
        </m:r>
      </m:oMath>
      <w:r>
        <w:t xml:space="preserve"> 海淀一模 </w:t>
      </w:r>
      <m:oMath>
        <m:r>
          <w:rPr>
            <w:rFonts w:ascii="Cambria Math" w:hAnsi="Cambria Math"/>
          </w:rPr>
          <m:t>15</m:t>
        </m:r>
      </m:oMath>
      <w:r>
        <w:t xml:space="preserve"> 】如图为双缝干涉的实验示意图，光源发出的光经滤光片成为单色光，然后通过单缝和双缝，在光屏上出现明暗相间的条纹。若要使干涉条纹的间距变大，在保证其他条件不变的情况下，可以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64"/>
        </w:rPr>
        <w:drawing>
          <wp:inline distT="0" distB="0" distL="114300" distR="114300">
            <wp:extent cx="3047365" cy="946150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94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>A. 将光屏移近双缝</w:t>
      </w:r>
    </w:p>
    <w:p>
      <w:pPr>
        <w:pStyle w:val="197"/>
      </w:pPr>
      <w:r>
        <w:tab/>
      </w:r>
      <w:r>
        <w:t>B. 更换滤光片，改用波长更长的单色光</w:t>
      </w:r>
    </w:p>
    <w:p>
      <w:pPr>
        <w:pStyle w:val="197"/>
      </w:pPr>
      <w:r>
        <w:tab/>
      </w:r>
      <w:r>
        <w:t>C. 增大双缝的间距</w:t>
      </w:r>
    </w:p>
    <w:p>
      <w:pPr>
        <w:pStyle w:val="197"/>
      </w:pPr>
      <w:r>
        <w:tab/>
      </w:r>
      <w:r>
        <w:t>D. 将光源向双缝移动一小段距离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3. 用两面平行的玻璃砖测定玻璃的折射率的实验中，已画好玻璃砖界面 </w:t>
      </w:r>
      <m:oMath>
        <m:r>
          <w:rPr>
            <w:rFonts w:ascii="Cambria Math" w:hAnsi="Cambria Math"/>
          </w:rPr>
          <m:t>aa</m:t>
        </m:r>
      </m:oMath>
      <w:r>
        <w:t xml:space="preserve"> ‘和 </w:t>
      </w:r>
      <m:oMath>
        <m:r>
          <w:rPr>
            <w:rFonts w:ascii="Cambria Math" w:hAnsi="Cambria Math"/>
          </w:rPr>
          <m:t>bb</m:t>
        </m:r>
      </m:oMath>
      <w:r>
        <w:t xml:space="preserve"> ’，不慎将玻璃砖向上平移了一些，放在如图所示的位置上，而实验中其他操作均正确，测得的折射率将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64"/>
        </w:rPr>
        <w:drawing>
          <wp:inline distT="0" distB="0" distL="114300" distR="114300">
            <wp:extent cx="2171700" cy="94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4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5"/>
      </w:pPr>
      <w:r>
        <w:tab/>
      </w:r>
      <w:r>
        <w:t>A. 偏大</w:t>
      </w:r>
      <w:r>
        <w:tab/>
      </w:r>
      <w:r>
        <w:t>B. 偏小</w:t>
      </w:r>
      <w:r>
        <w:tab/>
      </w:r>
      <w:r>
        <w:t>C. 不变</w:t>
      </w:r>
      <w:r>
        <w:tab/>
      </w:r>
      <w:r>
        <w:t>D. 无法确定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4. 【 </w:t>
      </w:r>
      <m:oMath>
        <m:r>
          <w:rPr>
            <w:rFonts w:ascii="Cambria Math" w:hAnsi="Cambria Math"/>
          </w:rPr>
          <m:t>2015</m:t>
        </m:r>
      </m:oMath>
      <w:r>
        <w:t xml:space="preserve"> 海淀一模 </w:t>
      </w:r>
      <m:oMath>
        <m:r>
          <w:rPr>
            <w:rFonts w:ascii="Cambria Math" w:hAnsi="Cambria Math"/>
          </w:rPr>
          <m:t>15</m:t>
        </m:r>
      </m:oMath>
      <w:r>
        <w:t xml:space="preserve"> 】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两种单色光以相同的入射角从空气斜射向某种玻璃中，光路如图所示。关于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两种单色光，下列说法中正确的是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72"/>
        </w:rPr>
        <w:drawing>
          <wp:inline distT="0" distB="0" distL="114300" distR="114300">
            <wp:extent cx="1409065" cy="1045210"/>
            <wp:effectExtent l="0" t="0" r="63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104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该种玻璃对 </w:t>
      </w:r>
      <m:oMath>
        <m:r>
          <w:rPr>
            <w:rFonts w:ascii="Cambria Math" w:hAnsi="Cambria Math"/>
          </w:rPr>
          <m:t>b</m:t>
        </m:r>
      </m:oMath>
      <w:r>
        <w:t xml:space="preserve"> 光的折射率较大</w:t>
      </w:r>
    </w:p>
    <w:p>
      <w:pPr>
        <w:pStyle w:val="197"/>
      </w:pPr>
      <w:r>
        <w:tab/>
      </w:r>
      <w:r>
        <w:t xml:space="preserve">B. </w:t>
      </w:r>
      <m:oMath>
        <m:r>
          <w:rPr>
            <w:rFonts w:ascii="Cambria Math" w:hAnsi="Cambria Math"/>
          </w:rPr>
          <m:t>b</m:t>
        </m:r>
      </m:oMath>
      <w:r>
        <w:t xml:space="preserve"> 光在该玻璃中传播时的速度较大</w:t>
      </w:r>
    </w:p>
    <w:p>
      <w:pPr>
        <w:pStyle w:val="197"/>
      </w:pPr>
      <w:r>
        <w:tab/>
      </w:r>
      <w:r>
        <w:t>C. 两种单色光从该玻璃中射入空气发生全反射时，</w:t>
      </w:r>
      <m:oMath>
        <m:r>
          <w:rPr>
            <w:rFonts w:ascii="Cambria Math" w:hAnsi="Cambria Math"/>
          </w:rPr>
          <m:t>a</m:t>
        </m:r>
      </m:oMath>
      <w:r>
        <w:t xml:space="preserve"> 光的临界角较小</w:t>
      </w:r>
    </w:p>
    <w:p>
      <w:pPr>
        <w:pStyle w:val="197"/>
      </w:pPr>
      <w:r>
        <w:tab/>
      </w:r>
      <w:r>
        <w:t>D. 在同样的条件下，分别用这两种单色光做双缝干涉实验，</w:t>
      </w:r>
      <m:oMath>
        <m:r>
          <w:rPr>
            <w:rFonts w:ascii="Cambria Math" w:hAnsi="Cambria Math"/>
          </w:rPr>
          <m:t>b</m:t>
        </m:r>
      </m:oMath>
      <w:r>
        <w:t xml:space="preserve"> 光的干涉图样的相邻条纹间距较大</w:t>
      </w:r>
    </w:p>
    <w:p>
      <w:pPr>
        <w:pStyle w:val="187"/>
      </w:pPr>
      <w:r>
        <w:t xml:space="preserve">  </w:t>
      </w:r>
    </w:p>
    <w:p>
      <w:pPr>
        <w:pStyle w:val="193"/>
      </w:pPr>
      <w:r>
        <w:t>5. 关于“测定玻璃折射率”的实验中，下列说法中不正确的是</w:t>
      </w:r>
      <w:r>
        <w:rPr>
          <w:u w:val="single"/>
        </w:rPr>
        <w:t xml:space="preserve">                </w:t>
      </w:r>
    </w:p>
    <w:p>
      <w:pPr>
        <w:pStyle w:val="197"/>
      </w:pPr>
      <w:r>
        <w:tab/>
      </w:r>
      <w:r>
        <w:t>A. 有一组入射角（</w:t>
      </w:r>
      <m:oMath>
        <m:sSub>
          <m:sSubPr/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≠0</m:t>
        </m:r>
      </m:oMath>
      <w:r>
        <w:t>）和折射角，便可以得出玻璃的折射率</w:t>
      </w:r>
    </w:p>
    <w:p>
      <w:pPr>
        <w:pStyle w:val="197"/>
      </w:pPr>
      <w:r>
        <w:tab/>
      </w:r>
      <w:r>
        <w:t>B. 在本实验中采用玻璃砖，这是因为只有玻璃砖才能测出玻璃的折射率</w:t>
      </w:r>
    </w:p>
    <w:p>
      <w:pPr>
        <w:pStyle w:val="197"/>
      </w:pPr>
      <w:r>
        <w:tab/>
      </w:r>
      <w:r>
        <w:t>C. 本实验的各项步骤，都是为了找到给定的入射角的折射角而设计的</w:t>
      </w:r>
    </w:p>
    <w:p>
      <w:pPr>
        <w:pStyle w:val="197"/>
      </w:pPr>
      <w:r>
        <w:tab/>
      </w:r>
      <w:r>
        <w:t>D. 棱镜、半圆形玻璃砖等都可以用来测定玻璃的折射率</w:t>
      </w:r>
    </w:p>
    <w:p>
      <w:pPr>
        <w:pStyle w:val="187"/>
      </w:pPr>
      <w:r>
        <w:t xml:space="preserve">  </w:t>
      </w:r>
    </w:p>
    <w:p>
      <w:pPr>
        <w:pStyle w:val="193"/>
      </w:pPr>
      <w:r>
        <w:t>6. 在用两面平行的玻璃砖《测定玻璃的折射率》的实验中，其光路图如图，对此实验中的一些具体问题，下列的各种说法中正确的是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78"/>
        </w:rPr>
        <w:drawing>
          <wp:inline distT="0" distB="0" distL="114300" distR="114300">
            <wp:extent cx="1504950" cy="1123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>A. 为了减少作图误差，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的距离应适当取大些</w:t>
      </w:r>
    </w:p>
    <w:p>
      <w:pPr>
        <w:pStyle w:val="197"/>
      </w:pPr>
      <w:r>
        <w:tab/>
      </w:r>
      <w:r>
        <w:t>B. 为了减少测量误差，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的连线与玻璃砖界面的夹角越大越好</w:t>
      </w:r>
    </w:p>
    <w:p>
      <w:pPr>
        <w:pStyle w:val="197"/>
      </w:pPr>
      <w:r>
        <w:tab/>
      </w:r>
      <w:r>
        <w:t xml:space="preserve">C. 若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距离太大，通过玻璃砖会看不到它们的像</w:t>
      </w:r>
    </w:p>
    <w:p>
      <w:pPr>
        <w:pStyle w:val="197"/>
      </w:pPr>
      <w:r>
        <w:tab/>
      </w:r>
      <w:r>
        <w:t xml:space="preserve">D. 若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连线与法线夹角太大，有可能在 </w:t>
      </w:r>
      <m:oMath>
        <m:r>
          <w:rPr>
            <w:rFonts w:ascii="Cambria Math" w:hAnsi="Cambria Math"/>
          </w:rPr>
          <m:t>bbʹ</m:t>
        </m:r>
      </m:oMath>
      <w:r>
        <w:t xml:space="preserve"> 界面发生全反射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7. 如图所示，一束可见光穿过平行玻璃砖后，变为 </w:t>
      </w:r>
      <m:oMath>
        <m:r>
          <w:rPr>
            <w:rFonts w:ascii="Cambria Math" w:hAnsi="Cambria Math"/>
          </w:rPr>
          <m:t>a</m:t>
        </m:r>
      </m:oMath>
      <w:r>
        <w:t xml:space="preserve"> 、 </w:t>
      </w:r>
      <m:oMath>
        <m:r>
          <w:rPr>
            <w:rFonts w:ascii="Cambria Math" w:hAnsi="Cambria Math"/>
          </w:rPr>
          <m:t>b</m:t>
        </m:r>
      </m:oMath>
      <w:r>
        <w:t xml:space="preserve"> 两束单色光，则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72"/>
        </w:rPr>
        <w:drawing>
          <wp:inline distT="0" distB="0" distL="114300" distR="114300">
            <wp:extent cx="1428750" cy="1049655"/>
            <wp:effectExtent l="0" t="0" r="0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 </w:t>
      </w:r>
      <m:oMath>
        <m:r>
          <w:rPr>
            <w:rFonts w:ascii="Cambria Math" w:hAnsi="Cambria Math"/>
          </w:rPr>
          <m:t>a</m:t>
        </m:r>
      </m:oMath>
      <w:r>
        <w:t xml:space="preserve"> 光的频率大于 </w:t>
      </w:r>
      <m:oMath>
        <m:r>
          <w:rPr>
            <w:rFonts w:ascii="Cambria Math" w:hAnsi="Cambria Math"/>
          </w:rPr>
          <m:t>b</m:t>
        </m:r>
      </m:oMath>
      <w:r>
        <w:t xml:space="preserve"> 光的频率</w:t>
      </w:r>
    </w:p>
    <w:p>
      <w:pPr>
        <w:pStyle w:val="197"/>
      </w:pPr>
      <w:r>
        <w:tab/>
      </w:r>
      <w:r>
        <w:t xml:space="preserve">B. 若 </w:t>
      </w:r>
      <m:oMath>
        <m:r>
          <w:rPr>
            <w:rFonts w:ascii="Cambria Math" w:hAnsi="Cambria Math"/>
          </w:rPr>
          <m:t>a</m:t>
        </m:r>
      </m:oMath>
      <w:r>
        <w:t xml:space="preserve"> 光是蓝色光，则 </w:t>
      </w:r>
      <m:oMath>
        <m:r>
          <w:rPr>
            <w:rFonts w:ascii="Cambria Math" w:hAnsi="Cambria Math"/>
          </w:rPr>
          <m:t>b</m:t>
        </m:r>
      </m:oMath>
      <w:r>
        <w:t xml:space="preserve"> 光可能是黄色光</w:t>
      </w:r>
    </w:p>
    <w:p>
      <w:pPr>
        <w:pStyle w:val="197"/>
      </w:pPr>
      <w:r>
        <w:tab/>
      </w:r>
      <w:r>
        <w:t xml:space="preserve">C. 若两种光通过相同双缝，则 </w:t>
      </w:r>
      <m:oMath>
        <m:r>
          <w:rPr>
            <w:rFonts w:ascii="Cambria Math" w:hAnsi="Cambria Math"/>
          </w:rPr>
          <m:t>a</m:t>
        </m:r>
      </m:oMath>
      <w:r>
        <w:t xml:space="preserve"> 光产生的干涉条纹间距比 </w:t>
      </w:r>
      <m:oMath>
        <m:r>
          <w:rPr>
            <w:rFonts w:ascii="Cambria Math" w:hAnsi="Cambria Math"/>
          </w:rPr>
          <m:t>b</m:t>
        </m:r>
      </m:oMath>
      <w:r>
        <w:t xml:space="preserve"> 光大</w:t>
      </w:r>
    </w:p>
    <w:p>
      <w:pPr>
        <w:pStyle w:val="197"/>
      </w:pPr>
      <w:r>
        <w:tab/>
      </w:r>
      <w:r>
        <w:t xml:space="preserve">D. 若 </w:t>
      </w:r>
      <m:oMath>
        <m:r>
          <w:rPr>
            <w:rFonts w:ascii="Cambria Math" w:hAnsi="Cambria Math"/>
          </w:rPr>
          <m:t>a</m:t>
        </m:r>
      </m:oMath>
      <w:r>
        <w:t xml:space="preserve"> 光不能使某金属发生光电效应，则 </w:t>
      </w:r>
      <m:oMath>
        <m:r>
          <w:rPr>
            <w:rFonts w:ascii="Cambria Math" w:hAnsi="Cambria Math"/>
          </w:rPr>
          <m:t>b</m:t>
        </m:r>
      </m:oMath>
      <w:r>
        <w:t xml:space="preserve"> 光一定不能使该金属发生光电效应</w:t>
      </w:r>
    </w:p>
    <w:p>
      <w:pPr>
        <w:pStyle w:val="187"/>
      </w:pPr>
      <w:r>
        <w:t xml:space="preserve">  </w:t>
      </w:r>
    </w:p>
    <w:p>
      <w:pPr>
        <w:pStyle w:val="193"/>
      </w:pPr>
      <w:r>
        <w:t>8. 对于红光和紫光这两种光，下列说法中正确的是</w:t>
      </w:r>
      <w:r>
        <w:rPr>
          <w:u w:val="single"/>
        </w:rPr>
        <w:t xml:space="preserve">                </w:t>
      </w:r>
    </w:p>
    <w:p>
      <w:pPr>
        <w:pStyle w:val="197"/>
      </w:pPr>
      <w:r>
        <w:tab/>
      </w:r>
      <w:r>
        <w:t>A. 在玻璃中传播时，紫光的速度较大</w:t>
      </w:r>
    </w:p>
    <w:p>
      <w:pPr>
        <w:pStyle w:val="197"/>
      </w:pPr>
      <w:r>
        <w:tab/>
      </w:r>
      <w:r>
        <w:t>B. 以相同的入射角从空气斜射入玻璃中，紫光折射角较大</w:t>
      </w:r>
    </w:p>
    <w:p>
      <w:pPr>
        <w:pStyle w:val="197"/>
      </w:pPr>
      <w:r>
        <w:tab/>
      </w:r>
      <w:r>
        <w:t>C. 从玻璃射向空气中发生全反射时，红光临界角较大</w:t>
      </w:r>
    </w:p>
    <w:p>
      <w:pPr>
        <w:pStyle w:val="197"/>
      </w:pPr>
      <w:r>
        <w:tab/>
      </w:r>
      <w:r>
        <w:t>D. 用同一装置进行双缝干涉实验，紫光在光屏上形成的相邻亮条纹的间距较大</w:t>
      </w:r>
    </w:p>
    <w:p>
      <w:pPr>
        <w:pStyle w:val="187"/>
      </w:pPr>
      <w:r>
        <w:t xml:space="preserve">  </w:t>
      </w:r>
    </w:p>
    <w:p>
      <w:pPr>
        <w:pStyle w:val="193"/>
      </w:pPr>
      <w:r>
        <w:t xml:space="preserve">9. 如图所示，在用单色光做双缝干涉实验时，若单缝 </w:t>
      </w:r>
      <m:oMath>
        <m:r>
          <w:rPr>
            <w:rFonts w:ascii="Cambria Math" w:hAnsi="Cambria Math"/>
          </w:rPr>
          <m:t>S</m:t>
        </m:r>
      </m:oMath>
      <w:r>
        <w:t xml:space="preserve"> 从双缝 </w:t>
      </w:r>
      <m:oMath>
        <m:sSub>
          <m:sSubPr/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的中央对称位置处稍微向上移动，则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50"/>
        </w:rPr>
        <w:drawing>
          <wp:inline distT="0" distB="0" distL="114300" distR="114300">
            <wp:extent cx="1590675" cy="762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6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>A. 不再产生干涉现象</w:t>
      </w:r>
    </w:p>
    <w:p>
      <w:pPr>
        <w:pStyle w:val="197"/>
      </w:pPr>
      <w:r>
        <w:tab/>
      </w:r>
      <w:r>
        <w:t xml:space="preserve">B. 仍可产生干涉现象，且中央亮纹 </w:t>
      </w:r>
      <m:oMath>
        <m:r>
          <w:rPr>
            <w:rFonts w:ascii="Cambria Math" w:hAnsi="Cambria Math"/>
          </w:rPr>
          <m:t>P</m:t>
        </m:r>
      </m:oMath>
      <w:r>
        <w:t xml:space="preserve"> 的位置不变</w:t>
      </w:r>
    </w:p>
    <w:p>
      <w:pPr>
        <w:pStyle w:val="197"/>
      </w:pPr>
      <w:r>
        <w:tab/>
      </w:r>
      <w:r>
        <w:t xml:space="preserve">C. 仍可产生干涉现象，且中央亮纹 </w:t>
      </w:r>
      <m:oMath>
        <m:r>
          <w:rPr>
            <w:rFonts w:ascii="Cambria Math" w:hAnsi="Cambria Math"/>
          </w:rPr>
          <m:t>P</m:t>
        </m:r>
      </m:oMath>
      <w:r>
        <w:t xml:space="preserve"> 的位置略向上移</w:t>
      </w:r>
    </w:p>
    <w:p>
      <w:pPr>
        <w:pStyle w:val="197"/>
      </w:pPr>
      <w:r>
        <w:tab/>
      </w:r>
      <w:r>
        <w:t xml:space="preserve">D. 仍可产生干涉现象，且中央亮纹 </w:t>
      </w:r>
      <m:oMath>
        <m:r>
          <w:rPr>
            <w:rFonts w:ascii="Cambria Math" w:hAnsi="Cambria Math"/>
          </w:rPr>
          <m:t>P</m:t>
        </m:r>
      </m:oMath>
      <w:r>
        <w:t xml:space="preserve"> 的位置略向下移</w:t>
      </w:r>
    </w:p>
    <w:p>
      <w:pPr>
        <w:pStyle w:val="187"/>
      </w:pPr>
      <w:r>
        <w:t xml:space="preserve">  </w:t>
      </w:r>
    </w:p>
    <w:p>
      <w:pPr>
        <w:pStyle w:val="194"/>
      </w:pPr>
      <w:r>
        <w:t xml:space="preserve">10. 【 </w:t>
      </w:r>
      <m:oMath>
        <m:r>
          <w:rPr>
            <w:rFonts w:ascii="Cambria Math" w:hAnsi="Cambria Math"/>
          </w:rPr>
          <m:t>2018</m:t>
        </m:r>
      </m:oMath>
      <w:r>
        <w:t xml:space="preserve"> 北京高考 </w:t>
      </w:r>
      <m:oMath>
        <m:r>
          <w:rPr>
            <w:rFonts w:ascii="Cambria Math" w:hAnsi="Cambria Math"/>
          </w:rPr>
          <m:t>15</m:t>
        </m:r>
      </m:oMath>
      <w:r>
        <w:t xml:space="preserve"> 】用双缝干涉实验装置得到白光的干涉条纹，在光源与单缝之间加上红色滤光片后</w:t>
      </w:r>
      <w:r>
        <w:rPr>
          <w:u w:val="single"/>
        </w:rPr>
        <w:t xml:space="preserve">                </w:t>
      </w:r>
    </w:p>
    <w:p>
      <w:pPr>
        <w:pStyle w:val="199"/>
      </w:pPr>
      <w:r>
        <w:tab/>
      </w:r>
      <w:r>
        <w:t>A. 干涉条纹消失</w:t>
      </w:r>
      <w:r>
        <w:tab/>
      </w:r>
      <w:r>
        <w:t>B. 彩色条纹中的红色条纹消失</w:t>
      </w:r>
    </w:p>
    <w:p>
      <w:pPr>
        <w:pStyle w:val="199"/>
      </w:pPr>
      <w:r>
        <w:tab/>
      </w:r>
      <w:r>
        <w:t>C. 中央条纹变成暗条纹</w:t>
      </w:r>
      <w:r>
        <w:tab/>
      </w:r>
      <w:r>
        <w:t>D. 中央条纹变成红色</w:t>
      </w:r>
    </w:p>
    <w:p>
      <w:bookmarkStart w:id="0" w:name="_GoBack"/>
      <w:bookmarkEnd w:id="0"/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171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qFormat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qFormat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qFormat/>
    <w:uiPriority w:val="99"/>
  </w:style>
  <w:style w:type="character" w:customStyle="1" w:styleId="143">
    <w:name w:val="正文文本 2 Char"/>
    <w:basedOn w:val="132"/>
    <w:link w:val="28"/>
    <w:qFormat/>
    <w:uiPriority w:val="99"/>
  </w:style>
  <w:style w:type="character" w:customStyle="1" w:styleId="144">
    <w:name w:val="正文文本 3 Char"/>
    <w:basedOn w:val="132"/>
    <w:link w:val="17"/>
    <w:qFormat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qFormat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qFormat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qFormat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  <w:tblPr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2020-02-07T10:25:43Z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