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DC6" w:rsidRPr="001C1C14" w:rsidRDefault="00A66DC6" w:rsidP="00A66DC6">
      <w:pPr>
        <w:pStyle w:val="poem-detail-main-text"/>
        <w:spacing w:before="0" w:beforeAutospacing="0" w:after="0" w:afterAutospacing="0" w:line="360" w:lineRule="auto"/>
        <w:jc w:val="center"/>
        <w:rPr>
          <w:rFonts w:ascii="宋体" w:eastAsia="宋体" w:hAnsi="宋体" w:cs="Arial"/>
          <w:b/>
          <w:color w:val="333333"/>
        </w:rPr>
      </w:pPr>
      <w:r w:rsidRPr="001C1C14">
        <w:rPr>
          <w:rFonts w:ascii="宋体" w:eastAsia="宋体" w:hAnsi="宋体" w:cs="Arial" w:hint="eastAsia"/>
          <w:b/>
          <w:color w:val="333333"/>
        </w:rPr>
        <w:t>第三周  第</w:t>
      </w:r>
      <w:r>
        <w:rPr>
          <w:rFonts w:ascii="宋体" w:eastAsia="宋体" w:hAnsi="宋体" w:cs="Arial"/>
          <w:b/>
          <w:color w:val="333333"/>
        </w:rPr>
        <w:t>7</w:t>
      </w:r>
      <w:r w:rsidRPr="001C1C14">
        <w:rPr>
          <w:rFonts w:ascii="宋体" w:eastAsia="宋体" w:hAnsi="宋体" w:cs="Arial" w:hint="eastAsia"/>
          <w:b/>
          <w:color w:val="333333"/>
        </w:rPr>
        <w:t xml:space="preserve">课时  </w:t>
      </w:r>
      <w:r w:rsidR="00A87DA8" w:rsidRPr="00A87DA8">
        <w:rPr>
          <w:rFonts w:ascii="宋体" w:eastAsia="宋体" w:hAnsi="宋体" w:cs="Arial" w:hint="eastAsia"/>
          <w:b/>
          <w:color w:val="333333"/>
        </w:rPr>
        <w:t>高二</w:t>
      </w:r>
      <w:bookmarkStart w:id="0" w:name="_GoBack"/>
      <w:bookmarkEnd w:id="0"/>
      <w:r w:rsidRPr="001C1C14">
        <w:rPr>
          <w:rFonts w:ascii="宋体" w:eastAsia="宋体" w:hAnsi="宋体" w:cs="Arial"/>
          <w:b/>
          <w:color w:val="333333"/>
        </w:rPr>
        <w:t>名著</w:t>
      </w:r>
      <w:r w:rsidRPr="001C1C14">
        <w:rPr>
          <w:rFonts w:ascii="宋体" w:eastAsia="宋体" w:hAnsi="宋体" w:cs="Arial" w:hint="eastAsia"/>
          <w:b/>
          <w:color w:val="333333"/>
        </w:rPr>
        <w:t>阅读课程检测题目（第二部分：读写题目）</w:t>
      </w:r>
    </w:p>
    <w:p w:rsidR="00A66DC6" w:rsidRDefault="00A66DC6" w:rsidP="00925C78">
      <w:pPr>
        <w:pStyle w:val="poem-detail-main-text"/>
        <w:spacing w:before="0" w:beforeAutospacing="0" w:after="0" w:afterAutospacing="0" w:line="360" w:lineRule="auto"/>
        <w:jc w:val="center"/>
        <w:rPr>
          <w:rFonts w:ascii="宋体" w:eastAsia="宋体" w:hAnsi="宋体" w:cs="Arial"/>
          <w:b/>
          <w:color w:val="333333"/>
        </w:rPr>
      </w:pPr>
      <w:r w:rsidRPr="001C1C14">
        <w:rPr>
          <w:rFonts w:ascii="宋体" w:eastAsia="宋体" w:hAnsi="宋体" w:cs="Arial" w:hint="eastAsia"/>
          <w:b/>
          <w:color w:val="333333"/>
        </w:rPr>
        <w:t>《</w:t>
      </w:r>
      <w:r>
        <w:rPr>
          <w:rFonts w:ascii="宋体" w:eastAsia="宋体" w:hAnsi="宋体" w:cs="Arial" w:hint="eastAsia"/>
          <w:b/>
          <w:color w:val="333333"/>
        </w:rPr>
        <w:t>论语</w:t>
      </w:r>
      <w:r w:rsidRPr="001C1C14">
        <w:rPr>
          <w:rFonts w:ascii="宋体" w:eastAsia="宋体" w:hAnsi="宋体" w:cs="Arial" w:hint="eastAsia"/>
          <w:b/>
          <w:color w:val="333333"/>
        </w:rPr>
        <w:t>》</w:t>
      </w:r>
      <w:r w:rsidR="00925C78">
        <w:rPr>
          <w:rFonts w:ascii="宋体" w:eastAsia="宋体" w:hAnsi="宋体" w:cs="Arial" w:hint="eastAsia"/>
          <w:b/>
          <w:color w:val="333333"/>
        </w:rPr>
        <w:t>第9</w:t>
      </w:r>
      <w:r w:rsidR="00925C78">
        <w:rPr>
          <w:rFonts w:ascii="宋体" w:eastAsia="宋体" w:hAnsi="宋体" w:cs="Arial"/>
          <w:b/>
          <w:color w:val="333333"/>
        </w:rPr>
        <w:t>-12</w:t>
      </w:r>
      <w:r w:rsidR="00925C78">
        <w:rPr>
          <w:rFonts w:ascii="宋体" w:eastAsia="宋体" w:hAnsi="宋体" w:cs="Arial" w:hint="eastAsia"/>
          <w:b/>
          <w:color w:val="333333"/>
        </w:rPr>
        <w:t>篇题目解析</w:t>
      </w:r>
      <w:r w:rsidR="00925C78">
        <w:rPr>
          <w:rFonts w:ascii="宋体" w:eastAsia="宋体" w:hAnsi="宋体" w:cs="Arial"/>
          <w:b/>
          <w:color w:val="333333"/>
        </w:rPr>
        <w:t>与</w:t>
      </w:r>
      <w:r w:rsidR="00925C78">
        <w:rPr>
          <w:rFonts w:ascii="宋体" w:eastAsia="宋体" w:hAnsi="宋体" w:cs="Arial" w:hint="eastAsia"/>
          <w:b/>
          <w:color w:val="333333"/>
        </w:rPr>
        <w:t>示例</w:t>
      </w:r>
    </w:p>
    <w:p w:rsidR="00925C78" w:rsidRPr="00A66DC6" w:rsidRDefault="00925C78" w:rsidP="00925C78">
      <w:pPr>
        <w:pStyle w:val="poem-detail-main-text"/>
        <w:spacing w:before="0" w:beforeAutospacing="0" w:after="0" w:afterAutospacing="0" w:line="360" w:lineRule="auto"/>
        <w:jc w:val="center"/>
        <w:rPr>
          <w:b/>
          <w:sz w:val="32"/>
        </w:rPr>
      </w:pPr>
    </w:p>
    <w:p w:rsidR="00F01BDE" w:rsidRPr="00EB6814" w:rsidRDefault="00F01BDE" w:rsidP="00F01BDE">
      <w:pPr>
        <w:rPr>
          <w:rFonts w:ascii="Calibri" w:eastAsia="宋体" w:hAnsi="Calibri" w:cs="Times New Roman"/>
          <w:color w:val="000000" w:themeColor="text1"/>
          <w:sz w:val="24"/>
          <w:szCs w:val="24"/>
        </w:rPr>
      </w:pP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一</w:t>
      </w:r>
      <w:r w:rsidRPr="00EB6814">
        <w:rPr>
          <w:rFonts w:ascii="Calibri" w:eastAsia="宋体" w:hAnsi="Calibri" w:cs="Times New Roman"/>
          <w:color w:val="000000" w:themeColor="text1"/>
          <w:sz w:val="24"/>
          <w:szCs w:val="24"/>
        </w:rPr>
        <w:t>、评分标准及</w:t>
      </w: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题目要求：</w:t>
      </w:r>
    </w:p>
    <w:p w:rsidR="00F01BDE" w:rsidRPr="00EB6814" w:rsidRDefault="00F01BDE" w:rsidP="00F01BDE">
      <w:pPr>
        <w:rPr>
          <w:rFonts w:ascii="Calibri" w:eastAsia="宋体" w:hAnsi="Calibri" w:cs="Times New Roman"/>
          <w:color w:val="000000" w:themeColor="text1"/>
          <w:sz w:val="24"/>
          <w:szCs w:val="24"/>
        </w:rPr>
      </w:pP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说理为主；选择一点，观点明确；条理清楚</w:t>
      </w:r>
    </w:p>
    <w:p w:rsidR="00F01BDE" w:rsidRPr="00EB6814" w:rsidRDefault="00F01BDE" w:rsidP="00F01BDE">
      <w:pPr>
        <w:rPr>
          <w:rFonts w:ascii="Calibri" w:eastAsia="宋体" w:hAnsi="Calibri" w:cs="Times New Roman"/>
          <w:color w:val="000000" w:themeColor="text1"/>
          <w:sz w:val="24"/>
          <w:szCs w:val="24"/>
        </w:rPr>
      </w:pP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【评分标准】</w:t>
      </w:r>
    </w:p>
    <w:p w:rsidR="00F01BDE" w:rsidRPr="00EB6814" w:rsidRDefault="00F01BDE" w:rsidP="00F01BDE">
      <w:pPr>
        <w:rPr>
          <w:rFonts w:ascii="Calibri" w:eastAsia="宋体" w:hAnsi="Calibri" w:cs="Times New Roman"/>
          <w:color w:val="000000" w:themeColor="text1"/>
          <w:sz w:val="24"/>
          <w:szCs w:val="24"/>
        </w:rPr>
      </w:pP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观点：可三选一，也可另选；可是谈对“仁”的理解，也可是对“仁”的评价，也可是如何做到“仁”。</w:t>
      </w:r>
    </w:p>
    <w:p w:rsidR="00F01BDE" w:rsidRPr="00EB6814" w:rsidRDefault="00F01BDE" w:rsidP="00F01BDE">
      <w:pPr>
        <w:rPr>
          <w:rFonts w:ascii="Calibri" w:eastAsia="宋体" w:hAnsi="Calibri" w:cs="Times New Roman"/>
          <w:color w:val="000000" w:themeColor="text1"/>
          <w:sz w:val="24"/>
          <w:szCs w:val="24"/>
        </w:rPr>
      </w:pP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一类（</w:t>
      </w: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8~10</w:t>
      </w: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分）：观点明确，分析论证有一定深度，条理清楚。</w:t>
      </w:r>
    </w:p>
    <w:p w:rsidR="00F01BDE" w:rsidRPr="00EB6814" w:rsidRDefault="00F01BDE" w:rsidP="00F01BDE">
      <w:pPr>
        <w:rPr>
          <w:rFonts w:ascii="Calibri" w:eastAsia="宋体" w:hAnsi="Calibri" w:cs="Times New Roman"/>
          <w:color w:val="000000" w:themeColor="text1"/>
          <w:sz w:val="24"/>
          <w:szCs w:val="24"/>
        </w:rPr>
      </w:pP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二类（</w:t>
      </w: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5~7</w:t>
      </w: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分）：有认识，分析不够充分，条理清楚。</w:t>
      </w:r>
    </w:p>
    <w:p w:rsidR="00F01BDE" w:rsidRPr="00EB6814" w:rsidRDefault="00F01BDE" w:rsidP="00F01BDE">
      <w:pPr>
        <w:rPr>
          <w:rFonts w:ascii="Calibri" w:eastAsia="宋体" w:hAnsi="Calibri" w:cs="Times New Roman"/>
          <w:color w:val="000000" w:themeColor="text1"/>
          <w:sz w:val="24"/>
          <w:szCs w:val="24"/>
        </w:rPr>
      </w:pP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三类（</w:t>
      </w: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1~4</w:t>
      </w:r>
      <w:r w:rsidRPr="00EB6814">
        <w:rPr>
          <w:rFonts w:ascii="Calibri" w:eastAsia="宋体" w:hAnsi="Calibri" w:cs="Times New Roman" w:hint="eastAsia"/>
          <w:color w:val="000000" w:themeColor="text1"/>
          <w:sz w:val="24"/>
          <w:szCs w:val="24"/>
        </w:rPr>
        <w:t>分）：认识有偏差，分析不符合题目要求或论证空洞，思路不清。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二</w:t>
      </w:r>
      <w:r w:rsidRPr="00EB6814">
        <w:rPr>
          <w:color w:val="000000" w:themeColor="text1"/>
          <w:sz w:val="24"/>
          <w:szCs w:val="24"/>
        </w:rPr>
        <w:t>、</w:t>
      </w:r>
      <w:r w:rsidRPr="00EB6814">
        <w:rPr>
          <w:rFonts w:hint="eastAsia"/>
          <w:color w:val="000000" w:themeColor="text1"/>
          <w:sz w:val="24"/>
          <w:szCs w:val="24"/>
        </w:rPr>
        <w:t>【解题】《论语》中关于“仁”的说法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1.</w:t>
      </w:r>
      <w:r w:rsidRPr="00EB6814">
        <w:rPr>
          <w:rFonts w:hint="eastAsia"/>
          <w:color w:val="000000" w:themeColor="text1"/>
          <w:sz w:val="24"/>
          <w:szCs w:val="24"/>
        </w:rPr>
        <w:t>颜渊问仁。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子曰：“克己复礼为仁。一日克己复礼，天下归仁焉。为仁由己，而由人乎哉？”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颜渊曰：“请问其目。”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子曰：“非礼勿视，非礼勿听，非礼勿言，非礼勿动。”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2.</w:t>
      </w:r>
      <w:r w:rsidRPr="00EB6814">
        <w:rPr>
          <w:rFonts w:hint="eastAsia"/>
          <w:color w:val="000000" w:themeColor="text1"/>
          <w:sz w:val="24"/>
          <w:szCs w:val="24"/>
        </w:rPr>
        <w:t>仲弓问仁。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子曰：“出门如见大宾，使民如承大祭；己所不欲，勿施于人；在邦无怨，在家无怨。”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3.</w:t>
      </w:r>
      <w:r w:rsidRPr="00EB6814">
        <w:rPr>
          <w:rFonts w:hint="eastAsia"/>
          <w:color w:val="000000" w:themeColor="text1"/>
          <w:sz w:val="24"/>
          <w:szCs w:val="24"/>
        </w:rPr>
        <w:t>司马牛问仁。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子曰：“仁者，其言也讱（</w:t>
      </w:r>
      <w:r w:rsidRPr="00EB6814">
        <w:rPr>
          <w:rFonts w:hint="eastAsia"/>
          <w:color w:val="000000" w:themeColor="text1"/>
          <w:sz w:val="24"/>
          <w:szCs w:val="24"/>
        </w:rPr>
        <w:t xml:space="preserve"> r</w:t>
      </w:r>
      <w:r w:rsidRPr="00EB6814">
        <w:rPr>
          <w:rFonts w:hint="eastAsia"/>
          <w:color w:val="000000" w:themeColor="text1"/>
          <w:sz w:val="24"/>
          <w:szCs w:val="24"/>
        </w:rPr>
        <w:t>è</w:t>
      </w:r>
      <w:r w:rsidRPr="00EB6814">
        <w:rPr>
          <w:rFonts w:hint="eastAsia"/>
          <w:color w:val="000000" w:themeColor="text1"/>
          <w:sz w:val="24"/>
          <w:szCs w:val="24"/>
        </w:rPr>
        <w:t xml:space="preserve">n </w:t>
      </w:r>
      <w:r w:rsidRPr="00EB6814">
        <w:rPr>
          <w:rFonts w:hint="eastAsia"/>
          <w:color w:val="000000" w:themeColor="text1"/>
          <w:sz w:val="24"/>
          <w:szCs w:val="24"/>
        </w:rPr>
        <w:t>）。”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曰：“其言也讱，其谓之仁已乎？”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子曰：“为之难，言之得无讱乎？”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4.</w:t>
      </w:r>
      <w:r w:rsidRPr="00EB6814">
        <w:rPr>
          <w:rFonts w:hint="eastAsia"/>
          <w:color w:val="000000" w:themeColor="text1"/>
          <w:sz w:val="24"/>
          <w:szCs w:val="24"/>
        </w:rPr>
        <w:t>子贡曰：“如有博施于民而能济众，何如？可谓仁乎？”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子曰：“何事于仁？必也圣乎！尧舜其犹病诸。夫仁者，己欲立而立人，己欲达而达人。能近取譬，可谓仁之方也。”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5</w:t>
      </w:r>
      <w:r w:rsidRPr="00EB6814">
        <w:rPr>
          <w:rFonts w:hint="eastAsia"/>
          <w:color w:val="000000" w:themeColor="text1"/>
          <w:sz w:val="24"/>
          <w:szCs w:val="24"/>
        </w:rPr>
        <w:t>子贡问为仁。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子曰：“工欲善其事，必先利其器。居是邦也，事其大夫之贤者，友其士之仁者。”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6.</w:t>
      </w:r>
      <w:r w:rsidRPr="00EB6814">
        <w:rPr>
          <w:rFonts w:hint="eastAsia"/>
          <w:color w:val="000000" w:themeColor="text1"/>
          <w:sz w:val="24"/>
          <w:szCs w:val="24"/>
        </w:rPr>
        <w:t>樊迟问仁。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子曰：“爱人。”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7.</w:t>
      </w:r>
      <w:r w:rsidRPr="00EB6814">
        <w:rPr>
          <w:rFonts w:hint="eastAsia"/>
          <w:color w:val="000000" w:themeColor="text1"/>
          <w:sz w:val="24"/>
          <w:szCs w:val="24"/>
        </w:rPr>
        <w:t>子张问仁于孔子。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</w:t>
      </w:r>
      <w:r w:rsidRPr="00EB6814">
        <w:rPr>
          <w:rFonts w:hint="eastAsia"/>
          <w:color w:val="000000" w:themeColor="text1"/>
          <w:sz w:val="24"/>
          <w:szCs w:val="24"/>
        </w:rPr>
        <w:t>孔子曰：“能行五者于天下为仁矣。”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</w:t>
      </w:r>
      <w:r w:rsidRPr="00EB6814">
        <w:rPr>
          <w:rFonts w:hint="eastAsia"/>
          <w:color w:val="000000" w:themeColor="text1"/>
          <w:sz w:val="24"/>
          <w:szCs w:val="24"/>
        </w:rPr>
        <w:t>“请问之。”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 </w:t>
      </w:r>
      <w:r w:rsidRPr="00EB6814">
        <w:rPr>
          <w:rFonts w:hint="eastAsia"/>
          <w:color w:val="000000" w:themeColor="text1"/>
          <w:sz w:val="24"/>
          <w:szCs w:val="24"/>
        </w:rPr>
        <w:t>曰：“恭、宽、信、敏、惠。恭则不侮，宽则得众，信则人任焉，敏则有功，惠则足以使人。”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8.</w:t>
      </w:r>
      <w:r w:rsidRPr="00EB6814">
        <w:rPr>
          <w:rFonts w:hint="eastAsia"/>
          <w:color w:val="000000" w:themeColor="text1"/>
          <w:sz w:val="24"/>
          <w:szCs w:val="24"/>
        </w:rPr>
        <w:t>子夏曰：“博学而笃志，切问而近思，仁在其中矣。”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解说角度：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对内：学习态度、个人修为、安身立命</w:t>
      </w:r>
    </w:p>
    <w:p w:rsidR="00F01BDE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对外：待人处事、建功立业、笃志济世</w:t>
      </w:r>
    </w:p>
    <w:p w:rsidR="00EB6814" w:rsidRPr="00EB6814" w:rsidRDefault="00EB6814" w:rsidP="00F01BDE">
      <w:pPr>
        <w:rPr>
          <w:color w:val="000000" w:themeColor="text1"/>
          <w:sz w:val="24"/>
          <w:szCs w:val="24"/>
        </w:rPr>
      </w:pPr>
    </w:p>
    <w:p w:rsidR="00F01BDE" w:rsidRPr="00EB6814" w:rsidRDefault="00EB6814" w:rsidP="00F01BDE">
      <w:pPr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lastRenderedPageBreak/>
        <w:t>三</w:t>
      </w:r>
      <w:r w:rsidR="00F01BDE" w:rsidRPr="00EB6814">
        <w:rPr>
          <w:color w:val="000000" w:themeColor="text1"/>
          <w:sz w:val="24"/>
          <w:szCs w:val="24"/>
        </w:rPr>
        <w:t>、</w:t>
      </w:r>
      <w:r w:rsidR="00F01BDE" w:rsidRPr="00EB6814">
        <w:rPr>
          <w:rFonts w:hint="eastAsia"/>
          <w:color w:val="000000" w:themeColor="text1"/>
          <w:sz w:val="24"/>
          <w:szCs w:val="24"/>
        </w:rPr>
        <w:t>【解题】题目中的“仁”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1</w:t>
      </w:r>
      <w:r w:rsidRPr="00EB6814">
        <w:rPr>
          <w:rFonts w:hint="eastAsia"/>
          <w:color w:val="000000" w:themeColor="text1"/>
          <w:sz w:val="24"/>
          <w:szCs w:val="24"/>
        </w:rPr>
        <w:t>、“仁者爱人”：出自《孟子•离娄下》第二十八章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〖原文〗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  </w:t>
      </w:r>
      <w:r w:rsidRPr="00EB6814">
        <w:rPr>
          <w:rFonts w:hint="eastAsia"/>
          <w:color w:val="000000" w:themeColor="text1"/>
          <w:sz w:val="24"/>
          <w:szCs w:val="24"/>
        </w:rPr>
        <w:t>孟子曰：“君子所以异于人者，以其存心也。君子以仁存心，以礼存心。仁者爱人，有礼者敬人。爱人者，人恒爱之；敬人者，人恒敬之。有人于此，其待我以横逆则君子必自反也：我必不仁也，必无礼也；此物奚宜至哉！其自反而仁矣，自反而有礼矣，其横逆由是也；君子必自反也：我必不忠。自反而忠矣，其横逆由是也；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  </w:t>
      </w:r>
      <w:r w:rsidRPr="00EB6814">
        <w:rPr>
          <w:rFonts w:hint="eastAsia"/>
          <w:color w:val="000000" w:themeColor="text1"/>
          <w:sz w:val="24"/>
          <w:szCs w:val="24"/>
        </w:rPr>
        <w:t>君子曰：“此亦妄人也已矣！如此则与禽兽奚择哉！于禽兽又何难焉！”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〖关于“仁”的理解〗</w:t>
      </w:r>
    </w:p>
    <w:p w:rsidR="00F01BDE" w:rsidRPr="00EB6814" w:rsidRDefault="00F01BDE" w:rsidP="00F01BDE">
      <w:pPr>
        <w:ind w:firstLine="420"/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仁是善良、慈爱、包容、尊重；仁者是具有大智慧，有人格魅力的人。</w:t>
      </w:r>
    </w:p>
    <w:p w:rsidR="00F01BDE" w:rsidRPr="00EB6814" w:rsidRDefault="00F01BDE" w:rsidP="00F01BDE">
      <w:pPr>
        <w:ind w:firstLine="420"/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3</w:t>
      </w:r>
      <w:r w:rsidRPr="00EB6814">
        <w:rPr>
          <w:rFonts w:hint="eastAsia"/>
          <w:color w:val="000000" w:themeColor="text1"/>
          <w:sz w:val="24"/>
          <w:szCs w:val="24"/>
        </w:rPr>
        <w:t>、“仁者人也”：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〖原文〗孟子曰：“仁也者，人也；合而言之，道也。”</w:t>
      </w:r>
    </w:p>
    <w:p w:rsidR="00F01BDE" w:rsidRPr="00EB6814" w:rsidRDefault="00F01BDE" w:rsidP="00F01BDE">
      <w:pPr>
        <w:ind w:firstLine="420"/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                        </w:t>
      </w:r>
      <w:r w:rsidRPr="00EB6814">
        <w:rPr>
          <w:rFonts w:hint="eastAsia"/>
          <w:color w:val="000000" w:themeColor="text1"/>
          <w:sz w:val="24"/>
          <w:szCs w:val="24"/>
        </w:rPr>
        <w:t xml:space="preserve">　</w:t>
      </w:r>
      <w:r w:rsidRPr="00EB6814">
        <w:rPr>
          <w:color w:val="000000" w:themeColor="text1"/>
          <w:sz w:val="24"/>
          <w:szCs w:val="24"/>
        </w:rPr>
        <w:t xml:space="preserve">　　　　　　　　　　　</w:t>
      </w:r>
      <w:r w:rsidRPr="00EB6814">
        <w:rPr>
          <w:rFonts w:hint="eastAsia"/>
          <w:color w:val="000000" w:themeColor="text1"/>
          <w:sz w:val="24"/>
          <w:szCs w:val="24"/>
        </w:rPr>
        <w:t>——《孟子·尽心下》</w:t>
      </w:r>
      <w:r w:rsidRPr="00EB6814">
        <w:rPr>
          <w:rFonts w:hint="eastAsia"/>
          <w:color w:val="000000" w:themeColor="text1"/>
          <w:sz w:val="24"/>
          <w:szCs w:val="24"/>
        </w:rPr>
        <w:t xml:space="preserve">    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仁者人也，亲亲为大；义者宜也，尊贤为大。亲亲之杀，尊贤之等，礼所生也。</w:t>
      </w:r>
    </w:p>
    <w:p w:rsidR="00F01BDE" w:rsidRPr="00EB6814" w:rsidRDefault="00F01BDE" w:rsidP="00F01BDE">
      <w:pPr>
        <w:ind w:firstLineChars="2700" w:firstLine="6480"/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——《中庸》２０章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仁者人也，道者义也。厚于仁者薄于义，亲而不尊；厚于义者薄于仁，尊而不亲。</w:t>
      </w:r>
    </w:p>
    <w:p w:rsidR="00F01BDE" w:rsidRPr="00EB6814" w:rsidRDefault="00F01BDE" w:rsidP="00F01BDE">
      <w:pPr>
        <w:ind w:firstLine="420"/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                         </w:t>
      </w:r>
      <w:r w:rsidRPr="00EB6814">
        <w:rPr>
          <w:rFonts w:hint="eastAsia"/>
          <w:color w:val="000000" w:themeColor="text1"/>
          <w:sz w:val="24"/>
          <w:szCs w:val="24"/>
        </w:rPr>
        <w:t xml:space="preserve">　</w:t>
      </w:r>
      <w:r w:rsidRPr="00EB6814">
        <w:rPr>
          <w:color w:val="000000" w:themeColor="text1"/>
          <w:sz w:val="24"/>
          <w:szCs w:val="24"/>
        </w:rPr>
        <w:t xml:space="preserve">　　　　　　　　　　</w:t>
      </w:r>
      <w:r w:rsidRPr="00EB6814">
        <w:rPr>
          <w:rFonts w:hint="eastAsia"/>
          <w:color w:val="000000" w:themeColor="text1"/>
          <w:sz w:val="24"/>
          <w:szCs w:val="24"/>
        </w:rPr>
        <w:t>——《礼记》第３２卷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2</w:t>
      </w:r>
      <w:r w:rsidRPr="00EB6814">
        <w:rPr>
          <w:rFonts w:hint="eastAsia"/>
          <w:color w:val="000000" w:themeColor="text1"/>
          <w:sz w:val="24"/>
          <w:szCs w:val="24"/>
        </w:rPr>
        <w:t>、“克己复礼为仁”：出自《论语•颜渊》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〖关于“仁”的理解〗</w:t>
      </w:r>
    </w:p>
    <w:p w:rsidR="00F01BDE" w:rsidRPr="00EB6814" w:rsidRDefault="00F01BDE" w:rsidP="00F01BDE">
      <w:pPr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 xml:space="preserve">    </w:t>
      </w:r>
      <w:r w:rsidRPr="00EB6814">
        <w:rPr>
          <w:rFonts w:hint="eastAsia"/>
          <w:color w:val="000000" w:themeColor="text1"/>
          <w:sz w:val="24"/>
          <w:szCs w:val="24"/>
        </w:rPr>
        <w:t>礼的本质是仁爱。如果人们都能够依礼行事、非礼不行，那么他们就会在不知不觉之间提升自己的人格而成为一个“仁者”。</w:t>
      </w:r>
    </w:p>
    <w:p w:rsidR="00F01BDE" w:rsidRDefault="00F01BDE" w:rsidP="00F01BDE">
      <w:pPr>
        <w:ind w:firstLine="420"/>
        <w:rPr>
          <w:color w:val="000000" w:themeColor="text1"/>
          <w:sz w:val="24"/>
          <w:szCs w:val="24"/>
        </w:rPr>
      </w:pPr>
      <w:r w:rsidRPr="00EB6814">
        <w:rPr>
          <w:rFonts w:hint="eastAsia"/>
          <w:color w:val="000000" w:themeColor="text1"/>
          <w:sz w:val="24"/>
          <w:szCs w:val="24"/>
        </w:rPr>
        <w:t>“克己复礼”是达到仁的境界的方法。“礼”不仅仅是具体的礼节，而是泛指天理，“复礼”就是应当遵循天理。“仁”就是人内心的完美道德境界，其实也无非天理，所以能战胜自己的私欲而复归于天理，自然就达到了仁的境界。</w:t>
      </w:r>
    </w:p>
    <w:p w:rsidR="00EB6814" w:rsidRPr="00EB6814" w:rsidRDefault="00EB6814" w:rsidP="00F01BDE">
      <w:pPr>
        <w:ind w:firstLine="420"/>
        <w:rPr>
          <w:color w:val="000000" w:themeColor="text1"/>
          <w:sz w:val="24"/>
          <w:szCs w:val="24"/>
        </w:rPr>
      </w:pPr>
    </w:p>
    <w:p w:rsidR="00F01BDE" w:rsidRDefault="00EB6814" w:rsidP="00F01BDE">
      <w:pPr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四</w:t>
      </w:r>
      <w:r w:rsidR="00F01BDE" w:rsidRPr="00EB6814">
        <w:rPr>
          <w:color w:val="000000" w:themeColor="text1"/>
          <w:sz w:val="24"/>
          <w:szCs w:val="24"/>
        </w:rPr>
        <w:t>、</w:t>
      </w:r>
      <w:r w:rsidR="00F01BDE" w:rsidRPr="00EB6814">
        <w:rPr>
          <w:rFonts w:hint="eastAsia"/>
          <w:color w:val="000000" w:themeColor="text1"/>
          <w:sz w:val="24"/>
          <w:szCs w:val="24"/>
        </w:rPr>
        <w:t>【</w:t>
      </w:r>
      <w:r w:rsidR="00F01BDE" w:rsidRPr="00EB6814">
        <w:rPr>
          <w:color w:val="000000" w:themeColor="text1"/>
          <w:sz w:val="24"/>
          <w:szCs w:val="24"/>
        </w:rPr>
        <w:t>答案示例</w:t>
      </w:r>
      <w:r w:rsidR="00F01BDE" w:rsidRPr="00EB6814">
        <w:rPr>
          <w:rFonts w:hint="eastAsia"/>
          <w:color w:val="000000" w:themeColor="text1"/>
          <w:sz w:val="24"/>
          <w:szCs w:val="24"/>
        </w:rPr>
        <w:t>】</w:t>
      </w:r>
      <w:r w:rsidR="00F01BDE" w:rsidRPr="00EB6814">
        <w:rPr>
          <w:color w:val="000000" w:themeColor="text1"/>
          <w:sz w:val="24"/>
          <w:szCs w:val="24"/>
        </w:rPr>
        <w:t>：</w:t>
      </w:r>
    </w:p>
    <w:p w:rsidR="001E2C14" w:rsidRDefault="00F01BDE" w:rsidP="00F01BDE">
      <w:r>
        <w:rPr>
          <w:rFonts w:hint="eastAsia"/>
          <w:noProof/>
        </w:rPr>
        <w:lastRenderedPageBreak/>
        <w:drawing>
          <wp:inline distT="0" distB="0" distL="0" distR="0" wp14:anchorId="22A28901" wp14:editId="506E9DCA">
            <wp:extent cx="4597631" cy="3045391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63" cy="3050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BDE" w:rsidRPr="00F01BDE" w:rsidRDefault="00F01BDE" w:rsidP="00F01BDE">
      <w:r>
        <w:rPr>
          <w:rFonts w:hint="eastAsia"/>
          <w:noProof/>
        </w:rPr>
        <w:drawing>
          <wp:inline distT="0" distB="0" distL="0" distR="0" wp14:anchorId="2576EAF6" wp14:editId="5E20B60F">
            <wp:extent cx="4381308" cy="268732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02" cy="269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1BDE" w:rsidRPr="00F01B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6E9" w:rsidRDefault="006C46E9" w:rsidP="00EB6814">
      <w:r>
        <w:separator/>
      </w:r>
    </w:p>
  </w:endnote>
  <w:endnote w:type="continuationSeparator" w:id="0">
    <w:p w:rsidR="006C46E9" w:rsidRDefault="006C46E9" w:rsidP="00EB6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6E9" w:rsidRDefault="006C46E9" w:rsidP="00EB6814">
      <w:r>
        <w:separator/>
      </w:r>
    </w:p>
  </w:footnote>
  <w:footnote w:type="continuationSeparator" w:id="0">
    <w:p w:rsidR="006C46E9" w:rsidRDefault="006C46E9" w:rsidP="00EB6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BDE"/>
    <w:rsid w:val="001E2C14"/>
    <w:rsid w:val="006C46E9"/>
    <w:rsid w:val="00715069"/>
    <w:rsid w:val="00925C78"/>
    <w:rsid w:val="009F5395"/>
    <w:rsid w:val="00A66DC6"/>
    <w:rsid w:val="00A87DA8"/>
    <w:rsid w:val="00AA414E"/>
    <w:rsid w:val="00BF3AF6"/>
    <w:rsid w:val="00EB6814"/>
    <w:rsid w:val="00F0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08CD3BA-2789-4832-A44D-04F005C8C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B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68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68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68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6814"/>
    <w:rPr>
      <w:sz w:val="18"/>
      <w:szCs w:val="18"/>
    </w:rPr>
  </w:style>
  <w:style w:type="paragraph" w:customStyle="1" w:styleId="poem-detail-main-text">
    <w:name w:val="poem-detail-main-text"/>
    <w:basedOn w:val="a"/>
    <w:rsid w:val="00A66DC6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Administrator</cp:lastModifiedBy>
  <cp:revision>5</cp:revision>
  <dcterms:created xsi:type="dcterms:W3CDTF">2020-02-15T16:42:00Z</dcterms:created>
  <dcterms:modified xsi:type="dcterms:W3CDTF">2020-02-15T17:02:00Z</dcterms:modified>
</cp:coreProperties>
</file>