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CA" w:rsidRDefault="006C48CA" w:rsidP="006C48C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(2020东城期末)</w:t>
      </w:r>
    </w:p>
    <w:p w:rsidR="006C48CA" w:rsidRDefault="006C48CA" w:rsidP="006C48CA">
      <w:pPr>
        <w:spacing w:line="400" w:lineRule="exact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黑体" w:eastAsia="黑体" w:hAnsi="黑体" w:hint="eastAsia"/>
          <w:color w:val="333333"/>
          <w:szCs w:val="21"/>
        </w:rPr>
        <w:t>阅读下面文言文，完成6—10题。（</w:t>
      </w:r>
      <w:r>
        <w:rPr>
          <w:rFonts w:ascii="黑体" w:eastAsia="黑体" w:hAnsi="黑体" w:hint="eastAsia"/>
          <w:bCs/>
          <w:color w:val="000000"/>
          <w:kern w:val="0"/>
          <w:szCs w:val="21"/>
        </w:rPr>
        <w:t>共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分</w:t>
      </w:r>
      <w:r>
        <w:rPr>
          <w:rFonts w:ascii="黑体" w:eastAsia="黑体" w:hAnsi="黑体" w:hint="eastAsia"/>
          <w:color w:val="333333"/>
          <w:szCs w:val="21"/>
        </w:rPr>
        <w:t>）</w:t>
      </w:r>
    </w:p>
    <w:p w:rsidR="006C48CA" w:rsidRDefault="006C48CA" w:rsidP="006C48CA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bookmarkStart w:id="0" w:name="_Hlk26373188"/>
      <w:r>
        <w:rPr>
          <w:rFonts w:ascii="华文楷体" w:eastAsia="华文楷体" w:hAnsi="华文楷体" w:hint="eastAsia"/>
          <w:szCs w:val="21"/>
        </w:rPr>
        <w:t>王玄谟</w:t>
      </w:r>
      <w:r>
        <w:rPr>
          <w:rFonts w:ascii="华文楷体" w:eastAsia="华文楷体" w:hAnsi="华文楷体" w:hint="eastAsia"/>
          <w:szCs w:val="21"/>
          <w:vertAlign w:val="superscript"/>
        </w:rPr>
        <w:t>①</w:t>
      </w:r>
      <w:r>
        <w:rPr>
          <w:rFonts w:ascii="华文楷体" w:eastAsia="华文楷体" w:hAnsi="华文楷体" w:hint="eastAsia"/>
          <w:szCs w:val="21"/>
        </w:rPr>
        <w:t>北伐之必败也，弗待沈庆之以老成宿将见而知之也；今从千余岁以下，由其言论风旨而观之，知其未有不败者也。文帝曰：“观玄谟所陈，令人有封狼居胥意。”坐谈而动远略之雄心，不败何待焉？</w:t>
      </w:r>
    </w:p>
    <w:p w:rsidR="006C48CA" w:rsidRDefault="006C48CA" w:rsidP="006C48CA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兵之所取胜者，谋也、勇也，二者尽之矣。</w:t>
      </w:r>
      <w:r>
        <w:rPr>
          <w:rFonts w:ascii="华文楷体" w:eastAsia="华文楷体" w:hAnsi="华文楷体" w:hint="eastAsia"/>
          <w:szCs w:val="21"/>
          <w:em w:val="dot"/>
        </w:rPr>
        <w:t>以</w:t>
      </w:r>
      <w:r>
        <w:rPr>
          <w:rFonts w:ascii="华文楷体" w:eastAsia="华文楷体" w:hAnsi="华文楷体" w:hint="eastAsia"/>
          <w:szCs w:val="21"/>
        </w:rPr>
        <w:t>勇，则锋镝雨集车驰骑骤之下，一与一相当，而后勇怯见焉。以言说勇者，气之浮也，侈于口而</w:t>
      </w:r>
      <w:r>
        <w:rPr>
          <w:rFonts w:ascii="华文楷体" w:eastAsia="华文楷体" w:hAnsi="华文楷体" w:hint="eastAsia"/>
          <w:szCs w:val="21"/>
          <w:em w:val="dot"/>
        </w:rPr>
        <w:t>馁</w:t>
      </w:r>
      <w:r>
        <w:rPr>
          <w:rFonts w:ascii="华文楷体" w:eastAsia="华文楷体" w:hAnsi="华文楷体" w:hint="eastAsia"/>
          <w:szCs w:val="21"/>
        </w:rPr>
        <w:t>于心，见敌而必奔矣。</w:t>
      </w:r>
      <w:r>
        <w:rPr>
          <w:rFonts w:ascii="华文楷体" w:eastAsia="华文楷体" w:hAnsi="华文楷体" w:hint="eastAsia"/>
          <w:szCs w:val="21"/>
          <w:u w:val="single"/>
        </w:rPr>
        <w:t>若谋，则疑可以豫筹者也</w:t>
      </w:r>
      <w:r>
        <w:rPr>
          <w:rFonts w:ascii="华文楷体" w:eastAsia="华文楷体" w:hAnsi="华文楷体" w:hint="eastAsia"/>
          <w:szCs w:val="21"/>
        </w:rPr>
        <w:t>。而豫筹者，进退之大纲而已。两相敌而两相谋，扼吭抵虚，声左击右，阳进阴退之术，</w:t>
      </w:r>
      <w:r>
        <w:rPr>
          <w:rFonts w:ascii="华文楷体" w:eastAsia="华文楷体" w:hAnsi="华文楷体" w:hint="eastAsia"/>
          <w:szCs w:val="21"/>
          <w:em w:val="dot"/>
        </w:rPr>
        <w:t>皎然</w:t>
      </w:r>
      <w:r>
        <w:rPr>
          <w:rFonts w:ascii="华文楷体" w:eastAsia="华文楷体" w:hAnsi="华文楷体" w:hint="eastAsia"/>
          <w:szCs w:val="21"/>
        </w:rPr>
        <w:t>于心目者，皆不可恃前定以为用。唯夫呼吸之顷，或敛、或纵、或虚、或实，念有其萌芽，而</w:t>
      </w:r>
      <w:r>
        <w:rPr>
          <w:rFonts w:ascii="华文楷体" w:eastAsia="华文楷体" w:hAnsi="华文楷体" w:hint="eastAsia"/>
          <w:szCs w:val="21"/>
          <w:u w:val="single"/>
        </w:rPr>
        <w:t>机操于转眄</w:t>
      </w:r>
      <w:r>
        <w:rPr>
          <w:rFonts w:ascii="华文楷体" w:eastAsia="华文楷体" w:hAnsi="华文楷体" w:hint="eastAsia"/>
          <w:szCs w:val="21"/>
        </w:rPr>
        <w:t>。非凝神聚气以内营，则目</w:t>
      </w:r>
      <w:r>
        <w:rPr>
          <w:rFonts w:ascii="华文楷体" w:eastAsia="华文楷体" w:hAnsi="华文楷体" w:hint="eastAsia"/>
          <w:szCs w:val="21"/>
          <w:em w:val="dot"/>
        </w:rPr>
        <w:t>荧</w:t>
      </w:r>
      <w:r>
        <w:rPr>
          <w:rFonts w:ascii="华文楷体" w:eastAsia="华文楷体" w:hAnsi="华文楷体" w:hint="eastAsia"/>
          <w:szCs w:val="21"/>
        </w:rPr>
        <w:t>而心不及动，辨起而智不能决。故善谋者，未有能言其谋者也。指天画地，度彼参此，</w:t>
      </w:r>
      <w:r>
        <w:rPr>
          <w:rFonts w:ascii="华文楷体" w:eastAsia="华文楷体" w:hAnsi="华文楷体" w:hint="eastAsia"/>
          <w:szCs w:val="21"/>
          <w:u w:val="single"/>
        </w:rPr>
        <w:t>规无穷之变于数端</w:t>
      </w:r>
      <w:r>
        <w:rPr>
          <w:rFonts w:ascii="华文楷体" w:eastAsia="华文楷体" w:hAnsi="华文楷体" w:hint="eastAsia"/>
          <w:szCs w:val="21"/>
        </w:rPr>
        <w:t>，而揣之于未事，则临机之束手，瞀于死生而噤无一语也，必矣。</w:t>
      </w:r>
    </w:p>
    <w:p w:rsidR="006C48CA" w:rsidRDefault="006C48CA" w:rsidP="006C48CA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玄谟之勇，大声疾呼之勇也。其谋，画衾扪腹之谋也。是以可于未事之先，对人主而拄笏掀髯，琅琅惊四筵之众。今亦不知其所陈者何如，一出诸口，一濡之笔，而数十万人之</w:t>
      </w:r>
      <w:r>
        <w:rPr>
          <w:rFonts w:ascii="华文楷体" w:eastAsia="华文楷体" w:hAnsi="华文楷体" w:hint="eastAsia"/>
          <w:szCs w:val="21"/>
          <w:em w:val="dot"/>
        </w:rPr>
        <w:t>要领</w:t>
      </w:r>
      <w:r>
        <w:rPr>
          <w:rFonts w:ascii="华文楷体" w:eastAsia="华文楷体" w:hAnsi="华文楷体" w:hint="eastAsia"/>
          <w:szCs w:val="21"/>
        </w:rPr>
        <w:t>已涂郊原之草矣，况又与江、徐文墨之士相协而鸣也哉！</w:t>
      </w:r>
    </w:p>
    <w:p w:rsidR="006C48CA" w:rsidRDefault="006C48CA" w:rsidP="006C48CA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薛安都之攻关、陕而胜也，鲁方平谓安都曰：“卿不进，我斩卿，我不进，卿斩我。”流血凝肘而不退，兵是以胜。武陵王骏之守彭城而固也，张畅谓江夏王义恭曰：“若欲弃城，下官请以颈血污公马蹄。”骏听之，誓与城存亡，城是以全。由此观之，拓拔氏岂果有不可当之势哉？勇奋于生死之交，</w:t>
      </w:r>
      <w:r>
        <w:rPr>
          <w:rFonts w:ascii="华文楷体" w:eastAsia="华文楷体" w:hAnsi="华文楷体" w:hint="eastAsia"/>
          <w:color w:val="000000"/>
          <w:szCs w:val="21"/>
          <w:u w:val="single"/>
        </w:rPr>
        <w:t>谋决于安危之顷</w:t>
      </w:r>
      <w:r>
        <w:rPr>
          <w:rFonts w:ascii="华文楷体" w:eastAsia="华文楷体" w:hAnsi="华文楷体" w:hint="eastAsia"/>
          <w:szCs w:val="21"/>
        </w:rPr>
        <w:t>，武帝</w:t>
      </w:r>
      <w:r>
        <w:rPr>
          <w:rFonts w:ascii="华文楷体" w:eastAsia="华文楷体" w:hAnsi="华文楷体" w:hint="eastAsia"/>
          <w:szCs w:val="21"/>
          <w:vertAlign w:val="superscript"/>
        </w:rPr>
        <w:t>②</w:t>
      </w:r>
      <w:r>
        <w:rPr>
          <w:rFonts w:ascii="华文楷体" w:eastAsia="华文楷体" w:hAnsi="华文楷体" w:hint="eastAsia"/>
          <w:szCs w:val="21"/>
        </w:rPr>
        <w:t>之所以灭慕容、俘姚泓，骂姚兴而兴不敢动，夺拓拔嗣之城以济师而嗣不敢遏，亦此而已矣。皆玄谟所引以自雄者，而心妄</w:t>
      </w:r>
      <w:r>
        <w:rPr>
          <w:rFonts w:ascii="华文楷体" w:eastAsia="华文楷体" w:hAnsi="华文楷体" w:hint="eastAsia"/>
          <w:szCs w:val="21"/>
          <w:em w:val="dot"/>
        </w:rPr>
        <w:t>度</w:t>
      </w:r>
      <w:r>
        <w:rPr>
          <w:rFonts w:ascii="华文楷体" w:eastAsia="华文楷体" w:hAnsi="华文楷体" w:hint="eastAsia"/>
          <w:szCs w:val="21"/>
        </w:rPr>
        <w:t>之，目若见之，口遂言之，反诸中而无一虚静灵通之牖，以受情势之变，而生其心。则事与谋违，仓皇失措，晋寇以屠江、淮，</w:t>
      </w:r>
      <w:r>
        <w:rPr>
          <w:rFonts w:ascii="华文楷体" w:eastAsia="华文楷体" w:hAnsi="华文楷体" w:hint="eastAsia"/>
          <w:szCs w:val="21"/>
          <w:u w:val="single"/>
        </w:rPr>
        <w:t>不待智者而早已灼见之矣</w:t>
      </w:r>
      <w:r>
        <w:rPr>
          <w:rFonts w:ascii="华文楷体" w:eastAsia="华文楷体" w:hAnsi="华文楷体" w:hint="eastAsia"/>
          <w:szCs w:val="21"/>
        </w:rPr>
        <w:t>。</w:t>
      </w:r>
    </w:p>
    <w:p w:rsidR="006C48CA" w:rsidRDefault="006C48CA" w:rsidP="006C48CA">
      <w:pPr>
        <w:spacing w:line="400" w:lineRule="exact"/>
        <w:ind w:firstLine="4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言兵者必死于兵，听言而用兵者，必丧其国。</w:t>
      </w:r>
      <w:bookmarkStart w:id="1" w:name="_Hlk26543209"/>
      <w:r>
        <w:rPr>
          <w:rFonts w:ascii="华文楷体" w:eastAsia="华文楷体" w:hAnsi="华文楷体" w:hint="eastAsia"/>
          <w:szCs w:val="21"/>
        </w:rPr>
        <w:t>赵括之</w:t>
      </w:r>
      <w:r>
        <w:rPr>
          <w:rFonts w:ascii="华文楷体" w:eastAsia="华文楷体" w:hAnsi="华文楷体" w:hint="eastAsia"/>
          <w:szCs w:val="21"/>
          <w:em w:val="dot"/>
        </w:rPr>
        <w:t>所以</w:t>
      </w:r>
      <w:r>
        <w:rPr>
          <w:rFonts w:ascii="华文楷体" w:eastAsia="华文楷体" w:hAnsi="华文楷体" w:hint="eastAsia"/>
          <w:szCs w:val="21"/>
        </w:rPr>
        <w:t>亡赵</w:t>
      </w:r>
      <w:bookmarkEnd w:id="1"/>
      <w:r>
        <w:rPr>
          <w:rFonts w:ascii="华文楷体" w:eastAsia="华文楷体" w:hAnsi="华文楷体" w:hint="eastAsia"/>
          <w:szCs w:val="21"/>
        </w:rPr>
        <w:t>，景延广之所以亡晋，一也。有国家者，</w:t>
      </w:r>
      <w:r>
        <w:rPr>
          <w:rFonts w:ascii="华文楷体" w:eastAsia="华文楷体" w:hAnsi="华文楷体" w:hint="eastAsia"/>
          <w:szCs w:val="21"/>
          <w:u w:val="single"/>
        </w:rPr>
        <w:t>亟正以刑可也</w:t>
      </w:r>
      <w:r>
        <w:rPr>
          <w:rFonts w:ascii="华文楷体" w:eastAsia="华文楷体" w:hAnsi="华文楷体" w:hint="eastAsia"/>
          <w:szCs w:val="21"/>
        </w:rPr>
        <w:t>。但废不用，犹且著为论说以惑后世，而戕民于</w:t>
      </w:r>
      <w:r>
        <w:rPr>
          <w:rFonts w:ascii="华文楷体" w:eastAsia="华文楷体" w:hAnsi="华文楷体" w:hint="eastAsia"/>
          <w:szCs w:val="21"/>
          <w:em w:val="dot"/>
        </w:rPr>
        <w:t>无已</w:t>
      </w:r>
      <w:r>
        <w:rPr>
          <w:rFonts w:ascii="华文楷体" w:eastAsia="华文楷体" w:hAnsi="华文楷体" w:hint="eastAsia"/>
          <w:szCs w:val="21"/>
        </w:rPr>
        <w:t>。《易》曰：“弟子舆尸</w:t>
      </w:r>
      <w:r>
        <w:rPr>
          <w:rFonts w:ascii="华文楷体" w:eastAsia="华文楷体" w:hAnsi="华文楷体" w:hint="eastAsia"/>
          <w:szCs w:val="21"/>
          <w:vertAlign w:val="superscript"/>
        </w:rPr>
        <w:t>③</w:t>
      </w:r>
      <w:r>
        <w:rPr>
          <w:rFonts w:ascii="华文楷体" w:eastAsia="华文楷体" w:hAnsi="华文楷体" w:hint="eastAsia"/>
          <w:szCs w:val="21"/>
        </w:rPr>
        <w:t>。”坐而论兵者之谓也。</w:t>
      </w:r>
    </w:p>
    <w:p w:rsidR="006C48CA" w:rsidRDefault="006C48CA" w:rsidP="006C48CA">
      <w:pPr>
        <w:spacing w:line="400" w:lineRule="exact"/>
        <w:ind w:firstLine="480"/>
        <w:jc w:val="righ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（取材于王夫之《读通鉴论》）</w:t>
      </w:r>
    </w:p>
    <w:p w:rsidR="006C48CA" w:rsidRDefault="006C48CA" w:rsidP="006C48CA">
      <w:pPr>
        <w:spacing w:line="400" w:lineRule="exact"/>
        <w:ind w:firstLineChars="200" w:firstLine="360"/>
        <w:rPr>
          <w:rFonts w:ascii="宋体" w:eastAsia="宋体" w:hAnsi="宋体"/>
          <w:sz w:val="18"/>
          <w:szCs w:val="21"/>
        </w:rPr>
      </w:pPr>
      <w:r>
        <w:rPr>
          <w:rFonts w:ascii="宋体" w:eastAsia="宋体" w:hAnsi="宋体" w:hint="eastAsia"/>
          <w:sz w:val="18"/>
          <w:szCs w:val="21"/>
        </w:rPr>
        <w:t>注释：①</w:t>
      </w:r>
      <w:r>
        <w:rPr>
          <w:rFonts w:ascii="宋体" w:eastAsia="宋体" w:hAnsi="宋体"/>
          <w:sz w:val="18"/>
          <w:szCs w:val="21"/>
        </w:rPr>
        <w:t>王玄谟</w:t>
      </w:r>
      <w:r>
        <w:rPr>
          <w:rFonts w:ascii="宋体" w:eastAsia="宋体" w:hAnsi="宋体" w:hint="eastAsia"/>
          <w:sz w:val="18"/>
          <w:szCs w:val="21"/>
        </w:rPr>
        <w:t>：南朝刘宋将领。元嘉二十七年，</w:t>
      </w:r>
      <w:r>
        <w:rPr>
          <w:rFonts w:ascii="宋体" w:eastAsia="宋体" w:hAnsi="宋体"/>
          <w:sz w:val="18"/>
          <w:szCs w:val="21"/>
        </w:rPr>
        <w:t>宋文帝刘义隆发动北伐，命王玄谟率军讨伐北魏拓</w:t>
      </w:r>
      <w:r>
        <w:rPr>
          <w:rFonts w:ascii="宋体" w:eastAsia="宋体" w:hAnsi="宋体" w:hint="eastAsia"/>
          <w:sz w:val="18"/>
          <w:szCs w:val="21"/>
        </w:rPr>
        <w:t>拔</w:t>
      </w:r>
      <w:r>
        <w:rPr>
          <w:rFonts w:ascii="宋体" w:eastAsia="宋体" w:hAnsi="宋体"/>
          <w:sz w:val="18"/>
          <w:szCs w:val="21"/>
        </w:rPr>
        <w:t>氏。沈庆之、薛安都、</w:t>
      </w:r>
      <w:r>
        <w:rPr>
          <w:rFonts w:ascii="宋体" w:eastAsia="宋体" w:hAnsi="宋体" w:hint="eastAsia"/>
          <w:sz w:val="18"/>
          <w:szCs w:val="21"/>
        </w:rPr>
        <w:t>武陵王</w:t>
      </w:r>
      <w:r>
        <w:rPr>
          <w:rFonts w:ascii="宋体" w:eastAsia="宋体" w:hAnsi="宋体"/>
          <w:sz w:val="18"/>
          <w:szCs w:val="21"/>
        </w:rPr>
        <w:t>刘骏等人也参与。②</w:t>
      </w:r>
      <w:r>
        <w:rPr>
          <w:rFonts w:ascii="宋体" w:eastAsia="宋体" w:hAnsi="宋体" w:hint="eastAsia"/>
          <w:sz w:val="18"/>
          <w:szCs w:val="21"/>
        </w:rPr>
        <w:t>武帝：宋文帝之父，曾两次北伐。③弟子舆尸：</w:t>
      </w:r>
      <w:r>
        <w:rPr>
          <w:rFonts w:ascii="宋体" w:eastAsia="宋体" w:hAnsi="宋体"/>
          <w:sz w:val="18"/>
          <w:szCs w:val="21"/>
        </w:rPr>
        <w:t>形容大败之状。</w:t>
      </w:r>
    </w:p>
    <w:bookmarkEnd w:id="0"/>
    <w:p w:rsidR="006C48CA" w:rsidRDefault="006C48CA" w:rsidP="006C48CA">
      <w:pPr>
        <w:spacing w:line="440" w:lineRule="exact"/>
        <w:ind w:left="424" w:hangingChars="202" w:hanging="424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10．根据要求作答。（6分）</w:t>
      </w:r>
    </w:p>
    <w:p w:rsidR="006C48CA" w:rsidRDefault="006C48CA" w:rsidP="006C48CA">
      <w:pPr>
        <w:spacing w:line="440" w:lineRule="exact"/>
        <w:ind w:leftChars="201" w:left="422" w:firstLine="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①写出文章中能作为中心论点的一个句子。</w:t>
      </w:r>
    </w:p>
    <w:p w:rsidR="006C48CA" w:rsidRDefault="006C48CA" w:rsidP="006C48CA">
      <w:pPr>
        <w:spacing w:line="440" w:lineRule="exact"/>
        <w:ind w:leftChars="201" w:left="422" w:firstLine="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②文章第四段引用了多个战例，请结合全文简述其用意。</w:t>
      </w:r>
    </w:p>
    <w:p w:rsidR="00942228" w:rsidRPr="006C48CA" w:rsidRDefault="00942228"/>
    <w:sectPr w:rsidR="00942228" w:rsidRPr="006C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28" w:rsidRDefault="00942228" w:rsidP="006C48CA">
      <w:r>
        <w:separator/>
      </w:r>
    </w:p>
  </w:endnote>
  <w:endnote w:type="continuationSeparator" w:id="1">
    <w:p w:rsidR="00942228" w:rsidRDefault="00942228" w:rsidP="006C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28" w:rsidRDefault="00942228" w:rsidP="006C48CA">
      <w:r>
        <w:separator/>
      </w:r>
    </w:p>
  </w:footnote>
  <w:footnote w:type="continuationSeparator" w:id="1">
    <w:p w:rsidR="00942228" w:rsidRDefault="00942228" w:rsidP="006C4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CA"/>
    <w:rsid w:val="006C48CA"/>
    <w:rsid w:val="0094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C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linyang</dc:creator>
  <cp:keywords/>
  <dc:description/>
  <cp:lastModifiedBy>linyang</cp:lastModifiedBy>
  <cp:revision>2</cp:revision>
  <dcterms:created xsi:type="dcterms:W3CDTF">2020-02-05T15:13:00Z</dcterms:created>
  <dcterms:modified xsi:type="dcterms:W3CDTF">2020-02-05T15:13:00Z</dcterms:modified>
</cp:coreProperties>
</file>