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5B5" w:rsidRDefault="0090392E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8958A0">
        <w:rPr>
          <w:rFonts w:ascii="宋体" w:eastAsia="宋体" w:hAnsi="宋体" w:cs="Times New Roman"/>
          <w:b/>
          <w:sz w:val="30"/>
          <w:szCs w:val="30"/>
        </w:rPr>
        <w:t>1</w:t>
      </w:r>
      <w:r w:rsidR="00C315FA">
        <w:rPr>
          <w:rFonts w:ascii="宋体" w:eastAsia="宋体" w:hAnsi="宋体" w:cs="Times New Roman"/>
          <w:b/>
          <w:sz w:val="30"/>
          <w:szCs w:val="30"/>
        </w:rPr>
        <w:t>2</w:t>
      </w:r>
      <w:r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C315FA">
        <w:rPr>
          <w:rFonts w:ascii="宋体" w:eastAsia="宋体" w:hAnsi="宋体" w:cs="Times New Roman" w:hint="eastAsia"/>
          <w:b/>
          <w:sz w:val="30"/>
          <w:szCs w:val="30"/>
        </w:rPr>
        <w:t>企业与劳动者</w:t>
      </w:r>
      <w:r>
        <w:rPr>
          <w:rFonts w:ascii="宋体" w:eastAsia="宋体" w:hAnsi="宋体" w:cs="Times New Roman" w:hint="eastAsia"/>
          <w:b/>
          <w:sz w:val="30"/>
          <w:szCs w:val="30"/>
        </w:rPr>
        <w:t>》</w:t>
      </w:r>
      <w:r w:rsidR="008958A0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90392E" w:rsidRPr="007A7B46" w:rsidRDefault="0090392E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课后作业</w:t>
      </w:r>
    </w:p>
    <w:p w:rsidR="00AF5708" w:rsidRPr="007A7B46" w:rsidRDefault="008958A0" w:rsidP="00EB2207">
      <w:pPr>
        <w:spacing w:line="240" w:lineRule="atLeast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完成第</w:t>
      </w:r>
      <w:r w:rsidR="00C315FA">
        <w:rPr>
          <w:rFonts w:ascii="宋体" w:eastAsia="宋体" w:hAnsi="宋体" w:cs="Times New Roman" w:hint="eastAsia"/>
          <w:b/>
          <w:szCs w:val="21"/>
        </w:rPr>
        <w:t>六</w:t>
      </w:r>
      <w:r>
        <w:rPr>
          <w:rFonts w:ascii="宋体" w:eastAsia="宋体" w:hAnsi="宋体" w:cs="Times New Roman" w:hint="eastAsia"/>
          <w:b/>
          <w:szCs w:val="21"/>
        </w:rPr>
        <w:t>课《</w:t>
      </w:r>
      <w:r w:rsidR="00C315FA">
        <w:rPr>
          <w:rFonts w:ascii="宋体" w:eastAsia="宋体" w:hAnsi="宋体" w:cs="Times New Roman" w:hint="eastAsia"/>
          <w:b/>
          <w:szCs w:val="21"/>
        </w:rPr>
        <w:t>投资理财的选择</w:t>
      </w:r>
      <w:r>
        <w:rPr>
          <w:rFonts w:ascii="宋体" w:eastAsia="宋体" w:hAnsi="宋体" w:cs="Times New Roman" w:hint="eastAsia"/>
          <w:b/>
          <w:szCs w:val="21"/>
        </w:rPr>
        <w:t>》知识要点</w:t>
      </w:r>
    </w:p>
    <w:p w:rsidR="00C315FA" w:rsidRPr="00D136A5" w:rsidRDefault="00C315FA" w:rsidP="00C315FA">
      <w:pPr>
        <w:spacing w:line="240" w:lineRule="atLeast"/>
        <w:jc w:val="left"/>
        <w:rPr>
          <w:rFonts w:ascii="宋体" w:hAnsi="宋体"/>
          <w:b/>
          <w:color w:val="000000"/>
          <w:szCs w:val="21"/>
        </w:rPr>
      </w:pPr>
      <w:r w:rsidRPr="00D136A5">
        <w:rPr>
          <w:rFonts w:ascii="宋体" w:hAnsi="宋体" w:hint="eastAsia"/>
          <w:b/>
          <w:color w:val="000000"/>
          <w:szCs w:val="21"/>
        </w:rPr>
        <w:t>（一）储蓄存款</w:t>
      </w:r>
    </w:p>
    <w:p w:rsidR="00C315FA" w:rsidRPr="004066EE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4066EE">
        <w:rPr>
          <w:rFonts w:ascii="宋体" w:hAnsi="宋体"/>
          <w:color w:val="000000"/>
          <w:szCs w:val="21"/>
        </w:rPr>
        <w:t>1.</w:t>
      </w:r>
      <w:r w:rsidRPr="004066EE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储蓄</w:t>
      </w:r>
      <w:r w:rsidRPr="004066EE">
        <w:rPr>
          <w:rFonts w:ascii="宋体" w:hAnsi="宋体" w:hint="eastAsia"/>
          <w:color w:val="000000"/>
          <w:szCs w:val="21"/>
        </w:rPr>
        <w:t>存款的含义和特点</w:t>
      </w:r>
    </w:p>
    <w:p w:rsidR="00C315FA" w:rsidRPr="004066EE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4066EE">
        <w:rPr>
          <w:rFonts w:ascii="宋体" w:hAnsi="宋体"/>
          <w:color w:val="000000"/>
          <w:szCs w:val="21"/>
        </w:rPr>
        <w:t>(1)</w:t>
      </w:r>
      <w:r w:rsidRPr="004066EE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含义</w:t>
      </w:r>
      <w:r>
        <w:rPr>
          <w:rFonts w:ascii="宋体" w:hAnsi="宋体"/>
          <w:color w:val="000000"/>
          <w:szCs w:val="21"/>
        </w:rPr>
        <w:t>：</w:t>
      </w:r>
      <w:r w:rsidRPr="004066EE">
        <w:rPr>
          <w:rFonts w:ascii="宋体" w:hAnsi="宋体" w:hint="eastAsia"/>
          <w:color w:val="000000"/>
          <w:szCs w:val="21"/>
        </w:rPr>
        <w:t>储蓄存款</w:t>
      </w:r>
      <w:r>
        <w:rPr>
          <w:rFonts w:ascii="宋体" w:hAnsi="宋体" w:hint="eastAsia"/>
          <w:color w:val="000000"/>
          <w:szCs w:val="21"/>
        </w:rPr>
        <w:t>，是指</w:t>
      </w:r>
      <w:r w:rsidRPr="005353FF">
        <w:rPr>
          <w:rFonts w:ascii="宋体" w:hAnsi="宋体" w:hint="eastAsia"/>
          <w:color w:val="000000"/>
          <w:szCs w:val="21"/>
          <w:u w:val="single"/>
        </w:rPr>
        <w:t xml:space="preserve">　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4066EE">
        <w:rPr>
          <w:rFonts w:ascii="宋体" w:hAnsi="宋体" w:hint="eastAsia"/>
          <w:color w:val="000000"/>
          <w:szCs w:val="21"/>
        </w:rPr>
        <w:t>将</w:t>
      </w:r>
      <w:r w:rsidRPr="004066EE">
        <w:rPr>
          <w:rFonts w:ascii="宋体" w:hAnsi="宋体"/>
          <w:color w:val="000000"/>
          <w:szCs w:val="21"/>
        </w:rPr>
        <w:t>属于</w:t>
      </w:r>
      <w:r>
        <w:rPr>
          <w:rFonts w:ascii="宋体" w:hAnsi="宋体" w:hint="eastAsia"/>
          <w:color w:val="000000"/>
          <w:szCs w:val="21"/>
        </w:rPr>
        <w:t>其</w:t>
      </w:r>
      <w:r>
        <w:rPr>
          <w:rFonts w:ascii="宋体" w:hAnsi="宋体"/>
          <w:color w:val="000000"/>
          <w:szCs w:val="21"/>
        </w:rPr>
        <w:t>所有的人民币或者外币存入</w:t>
      </w:r>
      <w:r>
        <w:rPr>
          <w:rFonts w:ascii="宋体" w:hAnsi="宋体" w:hint="eastAsia"/>
          <w:color w:val="000000"/>
          <w:szCs w:val="21"/>
        </w:rPr>
        <w:t>储蓄机构</w:t>
      </w:r>
      <w:r>
        <w:rPr>
          <w:rFonts w:ascii="宋体" w:hAnsi="宋体"/>
          <w:color w:val="000000"/>
          <w:szCs w:val="21"/>
        </w:rPr>
        <w:t>，储蓄机构开具凭证，个人依据凭证可以支取存款的</w:t>
      </w:r>
      <w:r w:rsidRPr="005353FF">
        <w:rPr>
          <w:rFonts w:ascii="宋体" w:hAnsi="宋体" w:hint="eastAsia"/>
          <w:color w:val="000000"/>
          <w:szCs w:val="21"/>
          <w:u w:val="single"/>
        </w:rPr>
        <w:t xml:space="preserve">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4066EE">
        <w:rPr>
          <w:rFonts w:ascii="宋体" w:hAnsi="宋体" w:hint="eastAsia"/>
          <w:color w:val="000000"/>
          <w:szCs w:val="21"/>
        </w:rPr>
        <w:t>，</w:t>
      </w:r>
      <w:r w:rsidRPr="004066EE">
        <w:rPr>
          <w:rFonts w:ascii="宋体" w:hAnsi="宋体"/>
          <w:color w:val="000000"/>
          <w:szCs w:val="21"/>
        </w:rPr>
        <w:t>储蓄机构依照规定支付存款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 w:rsidRPr="004066EE">
        <w:rPr>
          <w:rFonts w:ascii="宋体" w:hAnsi="宋体" w:hint="eastAsia"/>
          <w:color w:val="000000"/>
          <w:szCs w:val="21"/>
        </w:rPr>
        <w:t>的</w:t>
      </w:r>
      <w:r w:rsidRPr="004066EE">
        <w:rPr>
          <w:rFonts w:ascii="宋体" w:hAnsi="宋体"/>
          <w:color w:val="000000"/>
          <w:szCs w:val="21"/>
        </w:rPr>
        <w:t>活动，我国的储蓄机构主要是</w:t>
      </w:r>
      <w:r w:rsidRPr="004066EE">
        <w:rPr>
          <w:rFonts w:ascii="宋体" w:hAnsi="宋体" w:hint="eastAsia"/>
          <w:color w:val="000000"/>
          <w:szCs w:val="21"/>
        </w:rPr>
        <w:t>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</w:t>
      </w:r>
      <w:r w:rsidRPr="004066EE">
        <w:rPr>
          <w:rFonts w:ascii="宋体" w:hAnsi="宋体" w:hint="eastAsia"/>
          <w:color w:val="000000"/>
          <w:szCs w:val="21"/>
        </w:rPr>
        <w:t>。</w:t>
      </w:r>
    </w:p>
    <w:p w:rsidR="00C315FA" w:rsidRPr="004066EE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4066EE">
        <w:rPr>
          <w:rFonts w:ascii="宋体" w:hAnsi="宋体"/>
          <w:color w:val="000000"/>
          <w:szCs w:val="21"/>
        </w:rPr>
        <w:t>(2)</w:t>
      </w:r>
      <w:r w:rsidRPr="004066EE">
        <w:rPr>
          <w:rFonts w:ascii="宋体" w:hAnsi="宋体" w:hint="eastAsia"/>
          <w:color w:val="000000"/>
          <w:szCs w:val="21"/>
        </w:rPr>
        <w:t xml:space="preserve"> 储蓄</w:t>
      </w:r>
      <w:r>
        <w:rPr>
          <w:rFonts w:ascii="宋体" w:hAnsi="宋体" w:hint="eastAsia"/>
          <w:color w:val="000000"/>
          <w:szCs w:val="21"/>
        </w:rPr>
        <w:t>存款</w:t>
      </w:r>
      <w:r w:rsidRPr="004066EE">
        <w:rPr>
          <w:rFonts w:ascii="宋体" w:hAnsi="宋体" w:hint="eastAsia"/>
          <w:color w:val="000000"/>
          <w:szCs w:val="21"/>
        </w:rPr>
        <w:t>种类</w:t>
      </w:r>
      <w:r>
        <w:rPr>
          <w:rFonts w:ascii="宋体" w:hAnsi="宋体" w:hint="eastAsia"/>
          <w:color w:val="000000"/>
          <w:szCs w:val="21"/>
        </w:rPr>
        <w:t>：</w:t>
      </w:r>
      <w:r w:rsidRPr="005353FF">
        <w:rPr>
          <w:rFonts w:ascii="宋体" w:hAnsi="宋体" w:hint="eastAsia"/>
          <w:color w:val="000000"/>
          <w:szCs w:val="21"/>
          <w:u w:val="single"/>
        </w:rPr>
        <w:t xml:space="preserve">　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5353FF">
        <w:rPr>
          <w:rFonts w:ascii="宋体" w:hAnsi="宋体" w:hint="eastAsia"/>
          <w:color w:val="000000"/>
          <w:szCs w:val="21"/>
          <w:u w:val="single"/>
        </w:rPr>
        <w:t>   </w:t>
      </w:r>
      <w:r w:rsidRPr="004066EE">
        <w:rPr>
          <w:rFonts w:ascii="宋体" w:hAnsi="宋体" w:hint="eastAsia"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4066EE"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3</w:t>
      </w:r>
      <w:r w:rsidRPr="004066EE"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储蓄存款</w:t>
      </w:r>
      <w:r>
        <w:rPr>
          <w:rFonts w:ascii="宋体" w:hAnsi="宋体"/>
          <w:color w:val="000000"/>
          <w:szCs w:val="21"/>
        </w:rPr>
        <w:t>的特点和风险</w:t>
      </w:r>
      <w:r>
        <w:rPr>
          <w:rFonts w:ascii="宋体" w:hAnsi="宋体" w:hint="eastAsia"/>
          <w:color w:val="000000"/>
          <w:szCs w:val="21"/>
        </w:rPr>
        <w:t>：</w:t>
      </w:r>
      <w:r w:rsidRPr="00D136A5">
        <w:rPr>
          <w:rFonts w:ascii="宋体" w:hAnsi="宋体" w:hint="eastAsia"/>
          <w:color w:val="000000"/>
          <w:szCs w:val="21"/>
        </w:rPr>
        <w:t>收益一般低于债券和股票；比较安全、风险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 w:rsidRPr="00D136A5">
        <w:rPr>
          <w:rFonts w:ascii="宋体" w:hAnsi="宋体" w:hint="eastAsia"/>
          <w:color w:val="000000"/>
          <w:szCs w:val="21"/>
        </w:rPr>
        <w:t>；但也存在通货膨胀情况</w:t>
      </w:r>
      <w:proofErr w:type="gramStart"/>
      <w:r w:rsidRPr="00D136A5">
        <w:rPr>
          <w:rFonts w:ascii="宋体" w:hAnsi="宋体" w:hint="eastAsia"/>
          <w:color w:val="000000"/>
          <w:szCs w:val="21"/>
        </w:rPr>
        <w:t>下存款</w:t>
      </w:r>
      <w:proofErr w:type="gramEnd"/>
      <w:r w:rsidRPr="00D136A5">
        <w:rPr>
          <w:rFonts w:ascii="宋体" w:hAnsi="宋体" w:hint="eastAsia"/>
          <w:color w:val="000000"/>
          <w:szCs w:val="21"/>
        </w:rPr>
        <w:t>贬值及定期存款提前支取而损失利息的风险。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2.储蓄</w:t>
      </w:r>
      <w:r>
        <w:rPr>
          <w:rFonts w:ascii="宋体" w:hAnsi="宋体"/>
          <w:color w:val="000000"/>
          <w:szCs w:val="21"/>
        </w:rPr>
        <w:t>存款的利息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</w:t>
      </w:r>
      <w:r w:rsidRPr="00D136A5">
        <w:rPr>
          <w:rFonts w:ascii="宋体" w:hAnsi="宋体" w:hint="eastAsia"/>
          <w:color w:val="000000"/>
          <w:szCs w:val="21"/>
        </w:rPr>
        <w:t>存款利息的</w:t>
      </w:r>
      <w:r>
        <w:rPr>
          <w:rFonts w:ascii="宋体" w:hAnsi="宋体" w:hint="eastAsia"/>
          <w:color w:val="000000"/>
          <w:szCs w:val="21"/>
        </w:rPr>
        <w:t>影响因素</w:t>
      </w:r>
      <w:r>
        <w:rPr>
          <w:rFonts w:ascii="宋体" w:hAnsi="宋体"/>
          <w:color w:val="000000"/>
          <w:szCs w:val="21"/>
        </w:rPr>
        <w:t>：</w:t>
      </w:r>
      <w:r w:rsidRPr="00D136A5">
        <w:rPr>
          <w:rFonts w:ascii="宋体" w:hAnsi="宋体" w:hint="eastAsia"/>
          <w:color w:val="000000"/>
          <w:szCs w:val="21"/>
          <w:u w:val="single"/>
        </w:rPr>
        <w:t xml:space="preserve">                                    </w:t>
      </w:r>
      <w:r w:rsidRPr="00D136A5">
        <w:rPr>
          <w:rFonts w:ascii="宋体" w:hAnsi="宋体" w:hint="eastAsia"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</w:t>
      </w:r>
      <w:r w:rsidRPr="00D136A5">
        <w:rPr>
          <w:rFonts w:ascii="宋体" w:hAnsi="宋体" w:hint="eastAsia"/>
          <w:color w:val="000000"/>
          <w:szCs w:val="21"/>
        </w:rPr>
        <w:t>存款利息的计算公式</w:t>
      </w:r>
      <w:r>
        <w:rPr>
          <w:rFonts w:ascii="宋体" w:hAnsi="宋体" w:hint="eastAsia"/>
          <w:color w:val="000000"/>
          <w:szCs w:val="21"/>
        </w:rPr>
        <w:t>：</w:t>
      </w:r>
      <w:r w:rsidRPr="00D136A5">
        <w:rPr>
          <w:rFonts w:ascii="宋体" w:hAnsi="宋体" w:hint="eastAsia"/>
          <w:color w:val="000000"/>
          <w:szCs w:val="21"/>
          <w:u w:val="single"/>
        </w:rPr>
        <w:t xml:space="preserve">                                    </w:t>
      </w:r>
      <w:r w:rsidRPr="00D136A5">
        <w:rPr>
          <w:rFonts w:ascii="宋体" w:hAnsi="宋体" w:hint="eastAsia"/>
          <w:color w:val="000000"/>
          <w:szCs w:val="21"/>
        </w:rPr>
        <w:t>。</w:t>
      </w:r>
    </w:p>
    <w:p w:rsidR="00C315FA" w:rsidRPr="004066EE" w:rsidRDefault="00C315FA" w:rsidP="00C315FA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</w:t>
      </w:r>
      <w:r w:rsidRPr="00D136A5">
        <w:rPr>
          <w:rFonts w:ascii="宋体" w:hAnsi="宋体" w:hint="eastAsia"/>
          <w:color w:val="000000"/>
          <w:szCs w:val="21"/>
        </w:rPr>
        <w:t>利率是宏观调控的重要经济手段，是调节货币供给量的重要杠杆。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2A1339">
        <w:rPr>
          <w:rFonts w:ascii="宋体" w:hAnsi="宋体" w:hint="eastAsia"/>
          <w:b/>
          <w:bCs/>
          <w:color w:val="000000"/>
          <w:szCs w:val="21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二</w:t>
      </w:r>
      <w:r w:rsidRPr="002A1339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/>
          <w:bCs/>
          <w:color w:val="000000"/>
          <w:szCs w:val="21"/>
        </w:rPr>
        <w:t>商业银行及其</w:t>
      </w:r>
      <w:r>
        <w:rPr>
          <w:rFonts w:ascii="宋体" w:hAnsi="宋体"/>
          <w:b/>
          <w:bCs/>
          <w:color w:val="000000"/>
          <w:szCs w:val="21"/>
        </w:rPr>
        <w:t>业务</w:t>
      </w:r>
    </w:p>
    <w:p w:rsidR="00C315FA" w:rsidRPr="00A86513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A86513">
        <w:rPr>
          <w:rFonts w:ascii="宋体" w:hAnsi="宋体"/>
          <w:bCs/>
          <w:color w:val="000000"/>
          <w:szCs w:val="21"/>
        </w:rPr>
        <w:t>1.</w:t>
      </w:r>
      <w:r w:rsidRPr="00D84AB5">
        <w:rPr>
          <w:rFonts w:hint="eastAsia"/>
        </w:rPr>
        <w:t xml:space="preserve"> </w:t>
      </w:r>
      <w:r w:rsidRPr="00D84AB5">
        <w:rPr>
          <w:rFonts w:ascii="宋体" w:hAnsi="宋体" w:hint="eastAsia"/>
          <w:bCs/>
          <w:color w:val="000000"/>
          <w:szCs w:val="21"/>
        </w:rPr>
        <w:t>商业银行是指经营吸收公众存款、发放贷款、办理结算等业务，并以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</w:t>
      </w:r>
      <w:r w:rsidRPr="00D84AB5">
        <w:rPr>
          <w:rFonts w:ascii="宋体" w:hAnsi="宋体" w:hint="eastAsia"/>
          <w:bCs/>
          <w:color w:val="000000"/>
          <w:szCs w:val="21"/>
        </w:rPr>
        <w:t>为主要经营目标的金融</w:t>
      </w:r>
      <w:r>
        <w:rPr>
          <w:rFonts w:ascii="宋体" w:hAnsi="宋体" w:hint="eastAsia"/>
          <w:bCs/>
          <w:color w:val="000000"/>
          <w:szCs w:val="21"/>
        </w:rPr>
        <w:t>机构</w:t>
      </w:r>
      <w:r w:rsidRPr="00D84AB5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</w:t>
      </w:r>
      <w:r w:rsidRPr="00C535DA">
        <w:rPr>
          <w:rFonts w:ascii="宋体" w:hAnsi="宋体"/>
          <w:bCs/>
          <w:color w:val="000000"/>
          <w:szCs w:val="21"/>
        </w:rPr>
        <w:t>.</w:t>
      </w:r>
      <w:r w:rsidRPr="00D84AB5">
        <w:rPr>
          <w:rFonts w:hint="eastAsia"/>
        </w:rPr>
        <w:t xml:space="preserve"> </w:t>
      </w:r>
      <w:r w:rsidRPr="00D84AB5">
        <w:rPr>
          <w:rFonts w:ascii="宋体" w:hAnsi="宋体" w:hint="eastAsia"/>
          <w:bCs/>
          <w:color w:val="000000"/>
          <w:szCs w:val="21"/>
        </w:rPr>
        <w:t>商业银行的主要业务：</w:t>
      </w:r>
      <w:r w:rsidRPr="00C535DA">
        <w:rPr>
          <w:rFonts w:ascii="宋体" w:hAnsi="宋体"/>
          <w:bCs/>
          <w:color w:val="000000"/>
          <w:szCs w:val="21"/>
        </w:rPr>
        <w:t xml:space="preserve"> 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(1)</w:t>
      </w:r>
      <w:r w:rsidRPr="00D84AB5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 w:rsidRPr="00D84AB5">
        <w:rPr>
          <w:rFonts w:ascii="宋体" w:hAnsi="宋体" w:hint="eastAsia"/>
          <w:bCs/>
          <w:color w:val="000000"/>
          <w:szCs w:val="21"/>
        </w:rPr>
        <w:t>（是商业银行的基础业务</w:t>
      </w:r>
      <w:r>
        <w:rPr>
          <w:rFonts w:ascii="宋体" w:hAnsi="宋体" w:hint="eastAsia"/>
          <w:bCs/>
          <w:color w:val="000000"/>
          <w:szCs w:val="21"/>
        </w:rPr>
        <w:t>，</w:t>
      </w:r>
      <w:r w:rsidRPr="00D84AB5">
        <w:rPr>
          <w:rFonts w:ascii="宋体" w:hAnsi="宋体" w:hint="eastAsia"/>
          <w:bCs/>
          <w:color w:val="000000"/>
          <w:szCs w:val="21"/>
        </w:rPr>
        <w:t>是商业银行营利的主要来源）</w:t>
      </w:r>
    </w:p>
    <w:p w:rsidR="00C315FA" w:rsidRPr="00D84AB5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(2)</w:t>
      </w:r>
      <w:r w:rsidRPr="00D84AB5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 w:rsidRPr="00D84AB5">
        <w:rPr>
          <w:rFonts w:ascii="宋体" w:hAnsi="宋体" w:hint="eastAsia"/>
          <w:bCs/>
          <w:color w:val="000000"/>
          <w:szCs w:val="21"/>
        </w:rPr>
        <w:t>（是我国商业银行的主体业务</w:t>
      </w:r>
      <w:r>
        <w:rPr>
          <w:rFonts w:ascii="宋体" w:hAnsi="宋体" w:hint="eastAsia"/>
          <w:bCs/>
          <w:color w:val="000000"/>
          <w:szCs w:val="21"/>
        </w:rPr>
        <w:t>）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(3)</w:t>
      </w:r>
      <w:r w:rsidRPr="00D84AB5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 w:rsidRPr="00F35EBF">
        <w:rPr>
          <w:rFonts w:ascii="宋体" w:hAnsi="宋体" w:hint="eastAsia"/>
          <w:bCs/>
          <w:color w:val="000000"/>
          <w:szCs w:val="21"/>
        </w:rPr>
        <w:t>。</w:t>
      </w:r>
    </w:p>
    <w:p w:rsidR="00C315FA" w:rsidRPr="00A86513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F35EBF">
        <w:rPr>
          <w:rFonts w:ascii="宋体" w:hAnsi="宋体" w:hint="eastAsia"/>
          <w:bCs/>
          <w:color w:val="000000"/>
          <w:szCs w:val="21"/>
        </w:rPr>
        <w:t>此外还提供债券买卖及兑付、代理买卖外汇、代理保险、提供保管箱等服务。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2A1339">
        <w:rPr>
          <w:rFonts w:ascii="宋体" w:hAnsi="宋体" w:hint="eastAsia"/>
          <w:b/>
          <w:bCs/>
          <w:color w:val="000000"/>
          <w:szCs w:val="21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三</w:t>
      </w:r>
      <w:r w:rsidRPr="002A1339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/>
          <w:bCs/>
          <w:color w:val="000000"/>
          <w:szCs w:val="21"/>
        </w:rPr>
        <w:t>股票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1.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含义</w:t>
      </w:r>
      <w:r>
        <w:rPr>
          <w:rFonts w:ascii="宋体" w:hAnsi="宋体"/>
          <w:bCs/>
          <w:color w:val="000000"/>
          <w:szCs w:val="21"/>
        </w:rPr>
        <w:t>：</w:t>
      </w:r>
      <w:r w:rsidRPr="000B277C">
        <w:rPr>
          <w:rFonts w:ascii="宋体" w:hAnsi="宋体" w:hint="eastAsia"/>
          <w:bCs/>
          <w:color w:val="000000"/>
          <w:szCs w:val="21"/>
        </w:rPr>
        <w:t>股票是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</w:t>
      </w:r>
      <w:r w:rsidRPr="000B277C">
        <w:rPr>
          <w:rFonts w:ascii="宋体" w:hAnsi="宋体" w:hint="eastAsia"/>
          <w:bCs/>
          <w:color w:val="000000"/>
          <w:szCs w:val="21"/>
        </w:rPr>
        <w:t>在筹集资本时向出资人出具的股份凭证。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股东</w:t>
      </w:r>
      <w:r>
        <w:rPr>
          <w:rFonts w:ascii="宋体" w:hAnsi="宋体"/>
          <w:bCs/>
          <w:color w:val="000000"/>
          <w:szCs w:val="21"/>
        </w:rPr>
        <w:t>（</w:t>
      </w:r>
      <w:r>
        <w:rPr>
          <w:rFonts w:ascii="宋体" w:hAnsi="宋体" w:hint="eastAsia"/>
          <w:bCs/>
          <w:color w:val="000000"/>
          <w:szCs w:val="21"/>
        </w:rPr>
        <w:t>股票</w:t>
      </w:r>
      <w:r>
        <w:rPr>
          <w:rFonts w:ascii="宋体" w:hAnsi="宋体"/>
          <w:bCs/>
          <w:color w:val="000000"/>
          <w:szCs w:val="21"/>
        </w:rPr>
        <w:t>持有者）</w:t>
      </w:r>
      <w:r>
        <w:rPr>
          <w:rFonts w:ascii="宋体" w:hAnsi="宋体" w:hint="eastAsia"/>
          <w:bCs/>
          <w:color w:val="000000"/>
          <w:szCs w:val="21"/>
        </w:rPr>
        <w:t>的</w:t>
      </w:r>
      <w:r>
        <w:rPr>
          <w:rFonts w:ascii="宋体" w:hAnsi="宋体"/>
          <w:bCs/>
          <w:color w:val="000000"/>
          <w:szCs w:val="21"/>
        </w:rPr>
        <w:t>权利：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                                 </w:t>
      </w:r>
      <w:r w:rsidRPr="000B277C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3. </w:t>
      </w:r>
      <w:r>
        <w:rPr>
          <w:rFonts w:ascii="宋体" w:hAnsi="宋体" w:hint="eastAsia"/>
          <w:bCs/>
          <w:color w:val="000000"/>
          <w:szCs w:val="21"/>
        </w:rPr>
        <w:t>股东</w:t>
      </w:r>
      <w:r>
        <w:rPr>
          <w:rFonts w:ascii="宋体" w:hAnsi="宋体"/>
          <w:bCs/>
          <w:color w:val="000000"/>
          <w:szCs w:val="21"/>
        </w:rPr>
        <w:t>参股取得股票后，</w:t>
      </w:r>
      <w:r>
        <w:rPr>
          <w:rFonts w:ascii="宋体" w:hAnsi="宋体" w:hint="eastAsia"/>
          <w:bCs/>
          <w:color w:val="000000"/>
          <w:szCs w:val="21"/>
        </w:rPr>
        <w:t>能</w:t>
      </w:r>
      <w:r>
        <w:rPr>
          <w:rFonts w:ascii="宋体" w:hAnsi="宋体"/>
          <w:bCs/>
          <w:color w:val="000000"/>
          <w:szCs w:val="21"/>
        </w:rPr>
        <w:t>要求</w:t>
      </w:r>
      <w:r>
        <w:rPr>
          <w:rFonts w:ascii="宋体" w:hAnsi="宋体" w:hint="eastAsia"/>
          <w:bCs/>
          <w:color w:val="000000"/>
          <w:szCs w:val="21"/>
        </w:rPr>
        <w:t>公司</w:t>
      </w:r>
      <w:r>
        <w:rPr>
          <w:rFonts w:ascii="宋体" w:hAnsi="宋体"/>
          <w:bCs/>
          <w:color w:val="000000"/>
          <w:szCs w:val="21"/>
        </w:rPr>
        <w:t>返还出资</w:t>
      </w:r>
      <w:r>
        <w:rPr>
          <w:rFonts w:ascii="宋体" w:hAnsi="宋体" w:hint="eastAsia"/>
          <w:bCs/>
          <w:color w:val="000000"/>
          <w:szCs w:val="21"/>
        </w:rPr>
        <w:t>么</w:t>
      </w:r>
      <w:r>
        <w:rPr>
          <w:rFonts w:ascii="宋体" w:hAnsi="宋体"/>
          <w:bCs/>
          <w:color w:val="000000"/>
          <w:szCs w:val="21"/>
        </w:rPr>
        <w:t>？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4A0F98"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 w:rsidRPr="004A0F98">
        <w:rPr>
          <w:rFonts w:ascii="宋体" w:hAnsi="宋体"/>
          <w:bCs/>
          <w:color w:val="000000"/>
          <w:szCs w:val="21"/>
          <w:u w:val="single"/>
        </w:rPr>
        <w:t xml:space="preserve">          </w:t>
      </w:r>
      <w:r>
        <w:rPr>
          <w:rFonts w:ascii="宋体" w:hAnsi="宋体"/>
          <w:bCs/>
          <w:color w:val="000000"/>
          <w:szCs w:val="21"/>
        </w:rPr>
        <w:t xml:space="preserve"> 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那</w:t>
      </w:r>
      <w:r>
        <w:rPr>
          <w:rFonts w:ascii="宋体" w:hAnsi="宋体"/>
          <w:bCs/>
          <w:color w:val="000000"/>
          <w:szCs w:val="21"/>
        </w:rPr>
        <w:t>如果</w:t>
      </w:r>
      <w:r>
        <w:rPr>
          <w:rFonts w:ascii="宋体" w:hAnsi="宋体" w:hint="eastAsia"/>
          <w:bCs/>
          <w:color w:val="000000"/>
          <w:szCs w:val="21"/>
        </w:rPr>
        <w:t>股东</w:t>
      </w:r>
      <w:r>
        <w:rPr>
          <w:rFonts w:ascii="宋体" w:hAnsi="宋体"/>
          <w:bCs/>
          <w:color w:val="000000"/>
          <w:szCs w:val="21"/>
        </w:rPr>
        <w:t>不想再持有股票，</w:t>
      </w:r>
      <w:r>
        <w:rPr>
          <w:rFonts w:ascii="宋体" w:hAnsi="宋体" w:hint="eastAsia"/>
          <w:bCs/>
          <w:color w:val="000000"/>
          <w:szCs w:val="21"/>
        </w:rPr>
        <w:t>变更股东</w:t>
      </w:r>
      <w:r>
        <w:rPr>
          <w:rFonts w:ascii="宋体" w:hAnsi="宋体"/>
          <w:bCs/>
          <w:color w:val="000000"/>
          <w:szCs w:val="21"/>
        </w:rPr>
        <w:t>身份的方法有？</w:t>
      </w:r>
    </w:p>
    <w:p w:rsidR="00C315FA" w:rsidRPr="004A0F98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</w:t>
      </w:r>
      <w:r w:rsidRPr="0045669B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</w:t>
      </w:r>
      <w:r w:rsidRPr="0045669B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4. </w:t>
      </w:r>
      <w:r w:rsidRPr="001E58F8">
        <w:rPr>
          <w:rFonts w:ascii="宋体" w:hAnsi="宋体" w:hint="eastAsia"/>
          <w:bCs/>
          <w:color w:val="000000"/>
          <w:szCs w:val="21"/>
        </w:rPr>
        <w:t>股票投资的收入包括：</w:t>
      </w:r>
    </w:p>
    <w:p w:rsidR="00C315FA" w:rsidRPr="004A0F98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</w:t>
      </w:r>
      <w:r w:rsidRPr="0045669B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                 </w:t>
      </w:r>
      <w:r w:rsidRPr="0045669B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ind w:firstLineChars="150" w:firstLine="315"/>
        <w:jc w:val="left"/>
        <w:rPr>
          <w:rFonts w:ascii="宋体" w:hAnsi="宋体"/>
          <w:bCs/>
          <w:color w:val="000000"/>
          <w:szCs w:val="21"/>
        </w:rPr>
      </w:pPr>
      <w:r w:rsidRPr="001E58F8">
        <w:rPr>
          <w:rFonts w:ascii="宋体" w:hAnsi="宋体" w:hint="eastAsia"/>
          <w:bCs/>
          <w:color w:val="000000"/>
          <w:szCs w:val="21"/>
        </w:rPr>
        <w:t>股票是一种风险</w:t>
      </w:r>
      <w:r w:rsidRPr="001E58F8">
        <w:rPr>
          <w:rFonts w:ascii="宋体" w:hAnsi="宋体" w:hint="eastAsia"/>
          <w:bCs/>
          <w:color w:val="000000"/>
          <w:szCs w:val="21"/>
          <w:u w:val="single"/>
        </w:rPr>
        <w:t xml:space="preserve">          </w:t>
      </w:r>
      <w:r w:rsidRPr="001E58F8">
        <w:rPr>
          <w:rFonts w:ascii="宋体" w:hAnsi="宋体" w:hint="eastAsia"/>
          <w:bCs/>
          <w:color w:val="000000"/>
          <w:szCs w:val="21"/>
        </w:rPr>
        <w:t>的投资方式。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5.</w:t>
      </w:r>
      <w:r w:rsidRPr="00893B09">
        <w:rPr>
          <w:rFonts w:hint="eastAsia"/>
        </w:rPr>
        <w:t xml:space="preserve"> </w:t>
      </w:r>
      <w:r w:rsidRPr="00893B09">
        <w:rPr>
          <w:rFonts w:ascii="宋体" w:hAnsi="宋体" w:hint="eastAsia"/>
          <w:bCs/>
          <w:color w:val="000000"/>
          <w:szCs w:val="21"/>
        </w:rPr>
        <w:t>股票市场的作用：</w:t>
      </w:r>
    </w:p>
    <w:p w:rsidR="00C315FA" w:rsidRPr="000B277C" w:rsidRDefault="00C315FA" w:rsidP="00C315FA">
      <w:pPr>
        <w:spacing w:line="240" w:lineRule="atLeast"/>
        <w:ind w:firstLineChars="100" w:firstLine="210"/>
        <w:jc w:val="left"/>
        <w:rPr>
          <w:rFonts w:ascii="宋体" w:hAnsi="宋体"/>
          <w:bCs/>
          <w:color w:val="000000"/>
          <w:szCs w:val="21"/>
        </w:rPr>
      </w:pPr>
      <w:r w:rsidRPr="00893B09">
        <w:rPr>
          <w:rFonts w:ascii="宋体" w:hAnsi="宋体" w:hint="eastAsia"/>
          <w:bCs/>
          <w:color w:val="000000"/>
          <w:szCs w:val="21"/>
        </w:rPr>
        <w:t>对</w:t>
      </w:r>
      <w:r>
        <w:rPr>
          <w:rFonts w:ascii="宋体" w:hAnsi="宋体" w:hint="eastAsia"/>
          <w:bCs/>
          <w:color w:val="000000"/>
          <w:szCs w:val="21"/>
        </w:rPr>
        <w:t>促进</w:t>
      </w:r>
      <w:r w:rsidRPr="00893B09">
        <w:rPr>
          <w:rFonts w:ascii="宋体" w:hAnsi="宋体" w:hint="eastAsia"/>
          <w:bCs/>
          <w:color w:val="000000"/>
          <w:szCs w:val="21"/>
        </w:rPr>
        <w:t>资金融通，提高资金使用效率，筹措建设资金，促进企业改革和发展，有重要作用。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2A1339">
        <w:rPr>
          <w:rFonts w:ascii="宋体" w:hAnsi="宋体" w:hint="eastAsia"/>
          <w:b/>
          <w:bCs/>
          <w:color w:val="000000"/>
          <w:szCs w:val="21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四</w:t>
      </w:r>
      <w:r w:rsidRPr="002A1339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/>
          <w:bCs/>
          <w:color w:val="000000"/>
          <w:szCs w:val="21"/>
        </w:rPr>
        <w:t>债券</w:t>
      </w:r>
      <w:r>
        <w:rPr>
          <w:rFonts w:ascii="宋体" w:hAnsi="宋体"/>
          <w:b/>
          <w:bCs/>
          <w:color w:val="000000"/>
          <w:szCs w:val="21"/>
        </w:rPr>
        <w:t>及其种类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1.</w:t>
      </w:r>
      <w:r w:rsidRPr="00DA5F6D">
        <w:rPr>
          <w:rFonts w:ascii="宋体" w:hAnsi="宋体" w:hint="eastAsia"/>
          <w:bCs/>
          <w:color w:val="000000"/>
          <w:szCs w:val="21"/>
        </w:rPr>
        <w:t>含义：债券是一种债务证书，即筹资者给投资者的债务凭证，承诺在一定时期支付约定的利息，并到期偿还本金。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 w:hint="eastAsia"/>
          <w:bCs/>
          <w:color w:val="000000"/>
          <w:szCs w:val="21"/>
        </w:rPr>
        <w:t>分类</w:t>
      </w:r>
      <w:r>
        <w:rPr>
          <w:rFonts w:ascii="宋体" w:hAnsi="宋体"/>
          <w:bCs/>
          <w:color w:val="000000"/>
          <w:szCs w:val="21"/>
        </w:rPr>
        <w:t>：</w:t>
      </w:r>
    </w:p>
    <w:p w:rsidR="00C315FA" w:rsidRPr="00FD1BF7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根据</w:t>
      </w:r>
      <w:r>
        <w:rPr>
          <w:rFonts w:ascii="宋体" w:hAnsi="宋体"/>
          <w:bCs/>
          <w:color w:val="000000"/>
          <w:szCs w:val="21"/>
        </w:rPr>
        <w:t>发行者不同，债券主要分为</w:t>
      </w:r>
      <w:r w:rsidRPr="00FD1BF7"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>
        <w:rPr>
          <w:rFonts w:ascii="宋体" w:hAnsi="宋体"/>
          <w:bCs/>
          <w:color w:val="000000"/>
          <w:szCs w:val="21"/>
        </w:rPr>
        <w:t xml:space="preserve"> </w:t>
      </w:r>
      <w:r w:rsidRPr="00FD1BF7">
        <w:rPr>
          <w:rFonts w:ascii="宋体" w:hAnsi="宋体" w:hint="eastAsia"/>
          <w:bCs/>
          <w:color w:val="000000"/>
          <w:szCs w:val="21"/>
        </w:rPr>
        <w:t>、</w:t>
      </w:r>
      <w:r w:rsidRPr="00FD1BF7"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>
        <w:rPr>
          <w:rFonts w:ascii="宋体" w:hAnsi="宋体"/>
          <w:bCs/>
          <w:color w:val="000000"/>
          <w:szCs w:val="21"/>
        </w:rPr>
        <w:t xml:space="preserve"> </w:t>
      </w:r>
      <w:r w:rsidRPr="00FD1BF7">
        <w:rPr>
          <w:rFonts w:ascii="宋体" w:hAnsi="宋体" w:hint="eastAsia"/>
          <w:bCs/>
          <w:color w:val="000000"/>
          <w:szCs w:val="21"/>
        </w:rPr>
        <w:t>、</w:t>
      </w:r>
      <w:r w:rsidRPr="00FD1BF7">
        <w:rPr>
          <w:rFonts w:ascii="宋体" w:hAnsi="宋体"/>
          <w:bCs/>
          <w:color w:val="000000"/>
          <w:szCs w:val="21"/>
          <w:u w:val="single"/>
        </w:rPr>
        <w:t xml:space="preserve">              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119"/>
        <w:gridCol w:w="3083"/>
      </w:tblGrid>
      <w:tr w:rsidR="00C315FA" w:rsidTr="00371F51">
        <w:tc>
          <w:tcPr>
            <w:tcW w:w="959" w:type="dxa"/>
          </w:tcPr>
          <w:p w:rsidR="00C315FA" w:rsidRDefault="00C315FA" w:rsidP="00371F51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C315FA" w:rsidRPr="00100AC3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国债</w:t>
            </w:r>
          </w:p>
        </w:tc>
        <w:tc>
          <w:tcPr>
            <w:tcW w:w="3119" w:type="dxa"/>
          </w:tcPr>
          <w:p w:rsidR="00C315FA" w:rsidRPr="00100AC3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金融</w:t>
            </w:r>
            <w:r w:rsidRPr="00100AC3">
              <w:rPr>
                <w:rFonts w:ascii="宋体" w:hAnsi="宋体"/>
                <w:bCs/>
                <w:color w:val="000000"/>
                <w:szCs w:val="21"/>
              </w:rPr>
              <w:t>债券</w:t>
            </w:r>
          </w:p>
        </w:tc>
        <w:tc>
          <w:tcPr>
            <w:tcW w:w="3083" w:type="dxa"/>
          </w:tcPr>
          <w:p w:rsidR="00C315FA" w:rsidRPr="00100AC3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企业</w:t>
            </w:r>
            <w:r w:rsidRPr="00100AC3">
              <w:rPr>
                <w:rFonts w:ascii="宋体" w:hAnsi="宋体"/>
                <w:bCs/>
                <w:color w:val="000000"/>
                <w:szCs w:val="21"/>
              </w:rPr>
              <w:t>债券</w:t>
            </w:r>
          </w:p>
        </w:tc>
      </w:tr>
      <w:tr w:rsidR="00C315FA" w:rsidTr="00371F51">
        <w:tc>
          <w:tcPr>
            <w:tcW w:w="959" w:type="dxa"/>
          </w:tcPr>
          <w:p w:rsidR="00C315FA" w:rsidRPr="00100AC3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主体</w:t>
            </w:r>
          </w:p>
        </w:tc>
        <w:tc>
          <w:tcPr>
            <w:tcW w:w="2693" w:type="dxa"/>
          </w:tcPr>
          <w:p w:rsidR="00C315FA" w:rsidRDefault="00C315FA" w:rsidP="00371F51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119" w:type="dxa"/>
          </w:tcPr>
          <w:p w:rsidR="00C315FA" w:rsidRDefault="00C315FA" w:rsidP="00371F51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83" w:type="dxa"/>
          </w:tcPr>
          <w:p w:rsidR="00C315FA" w:rsidRDefault="00C315FA" w:rsidP="00371F51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315FA" w:rsidTr="00371F51">
        <w:tc>
          <w:tcPr>
            <w:tcW w:w="959" w:type="dxa"/>
          </w:tcPr>
          <w:p w:rsidR="00C315FA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315FA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315FA" w:rsidRPr="00100AC3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特点</w:t>
            </w:r>
          </w:p>
        </w:tc>
        <w:tc>
          <w:tcPr>
            <w:tcW w:w="2693" w:type="dxa"/>
          </w:tcPr>
          <w:p w:rsidR="00C315FA" w:rsidRPr="00100AC3" w:rsidRDefault="00C315FA" w:rsidP="00371F51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信用度</w:t>
            </w:r>
            <w:r w:rsidRPr="00100AC3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</w:t>
            </w: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风险</w:t>
            </w:r>
            <w:r w:rsidRPr="00100AC3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</w:t>
            </w: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流通性</w:t>
            </w:r>
            <w:r w:rsidRPr="00100AC3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</w:t>
            </w: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国债</w:t>
            </w:r>
            <w:r>
              <w:rPr>
                <w:rFonts w:ascii="宋体" w:hAnsi="宋体"/>
                <w:bCs/>
                <w:color w:val="000000"/>
                <w:szCs w:val="21"/>
              </w:rPr>
              <w:t>利率较其他债券</w:t>
            </w:r>
            <w:r w:rsidRPr="00100AC3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</w:t>
            </w: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利率一般</w:t>
            </w:r>
            <w:r w:rsidRPr="00100AC3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相同</w:t>
            </w:r>
            <w:r>
              <w:rPr>
                <w:rFonts w:ascii="宋体" w:hAnsi="宋体"/>
                <w:bCs/>
                <w:color w:val="000000"/>
                <w:szCs w:val="21"/>
              </w:rPr>
              <w:t>期限的银行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储蓄</w:t>
            </w:r>
            <w:r>
              <w:rPr>
                <w:rFonts w:ascii="宋体" w:hAnsi="宋体"/>
                <w:bCs/>
                <w:color w:val="000000"/>
                <w:szCs w:val="21"/>
              </w:rPr>
              <w:t>存款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利率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。     </w:t>
            </w:r>
            <w:r w:rsidRPr="00100AC3"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</w:p>
        </w:tc>
        <w:tc>
          <w:tcPr>
            <w:tcW w:w="3119" w:type="dxa"/>
          </w:tcPr>
          <w:p w:rsidR="00C315FA" w:rsidRPr="005E48FB" w:rsidRDefault="00C315FA" w:rsidP="00371F51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安全系数较国债</w:t>
            </w:r>
            <w:r w:rsidRPr="005E48FB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 </w:t>
            </w: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，但比企业债券</w:t>
            </w:r>
            <w:r w:rsidRPr="005E48FB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 </w:t>
            </w: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。利率一般</w:t>
            </w:r>
            <w:r w:rsidRPr="005E48FB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 </w:t>
            </w: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国债和银行存款。</w:t>
            </w:r>
          </w:p>
        </w:tc>
        <w:tc>
          <w:tcPr>
            <w:tcW w:w="3083" w:type="dxa"/>
          </w:tcPr>
          <w:p w:rsidR="00C315FA" w:rsidRPr="005E48FB" w:rsidRDefault="00C315FA" w:rsidP="00371F51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企业</w:t>
            </w:r>
            <w:r w:rsidRPr="005E48FB">
              <w:rPr>
                <w:rFonts w:ascii="宋体" w:hAnsi="宋体"/>
                <w:bCs/>
                <w:color w:val="000000"/>
                <w:szCs w:val="21"/>
              </w:rPr>
              <w:t>一般以自身的经营利润作为还本付息的</w:t>
            </w: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保证</w:t>
            </w:r>
            <w:r w:rsidRPr="005E48FB">
              <w:rPr>
                <w:rFonts w:ascii="宋体" w:hAnsi="宋体"/>
                <w:bCs/>
                <w:color w:val="000000"/>
                <w:szCs w:val="21"/>
              </w:rPr>
              <w:t>，是一种风险较</w:t>
            </w:r>
            <w:r w:rsidRPr="005E48FB">
              <w:rPr>
                <w:rFonts w:ascii="宋体" w:hAnsi="宋体"/>
                <w:bCs/>
                <w:color w:val="000000"/>
                <w:szCs w:val="21"/>
                <w:u w:val="single"/>
              </w:rPr>
              <w:t xml:space="preserve">      </w:t>
            </w:r>
            <w:r w:rsidRPr="005E48FB">
              <w:rPr>
                <w:rFonts w:ascii="宋体" w:hAnsi="宋体" w:hint="eastAsia"/>
                <w:bCs/>
                <w:color w:val="000000"/>
                <w:szCs w:val="21"/>
              </w:rPr>
              <w:t>的</w:t>
            </w:r>
            <w:r w:rsidRPr="005E48FB">
              <w:rPr>
                <w:rFonts w:ascii="宋体" w:hAnsi="宋体"/>
                <w:bCs/>
                <w:color w:val="000000"/>
                <w:szCs w:val="21"/>
              </w:rPr>
              <w:t>债券。</w:t>
            </w:r>
          </w:p>
        </w:tc>
      </w:tr>
      <w:tr w:rsidR="00C315FA" w:rsidTr="00371F51">
        <w:tc>
          <w:tcPr>
            <w:tcW w:w="959" w:type="dxa"/>
          </w:tcPr>
          <w:p w:rsidR="00C315FA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风险</w:t>
            </w:r>
            <w:r>
              <w:rPr>
                <w:rFonts w:ascii="宋体" w:hAnsi="宋体"/>
                <w:bCs/>
                <w:color w:val="000000"/>
                <w:szCs w:val="21"/>
              </w:rPr>
              <w:t>排序</w:t>
            </w:r>
          </w:p>
        </w:tc>
        <w:tc>
          <w:tcPr>
            <w:tcW w:w="8895" w:type="dxa"/>
            <w:gridSpan w:val="3"/>
          </w:tcPr>
          <w:p w:rsidR="00C315FA" w:rsidRPr="005E48FB" w:rsidRDefault="00C315FA" w:rsidP="00371F51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315FA" w:rsidTr="00371F51">
        <w:tc>
          <w:tcPr>
            <w:tcW w:w="959" w:type="dxa"/>
          </w:tcPr>
          <w:p w:rsidR="00C315FA" w:rsidRDefault="00C315FA" w:rsidP="00371F5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收益</w:t>
            </w:r>
            <w:r>
              <w:rPr>
                <w:rFonts w:ascii="宋体" w:hAnsi="宋体"/>
                <w:bCs/>
                <w:color w:val="000000"/>
                <w:szCs w:val="21"/>
              </w:rPr>
              <w:t>排序</w:t>
            </w:r>
          </w:p>
        </w:tc>
        <w:tc>
          <w:tcPr>
            <w:tcW w:w="8895" w:type="dxa"/>
            <w:gridSpan w:val="3"/>
          </w:tcPr>
          <w:p w:rsidR="00C315FA" w:rsidRPr="005E48FB" w:rsidRDefault="00C315FA" w:rsidP="00371F51">
            <w:pPr>
              <w:spacing w:line="240" w:lineRule="atLeas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</w:p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2A1339">
        <w:rPr>
          <w:rFonts w:ascii="宋体" w:hAnsi="宋体" w:hint="eastAsia"/>
          <w:b/>
          <w:bCs/>
          <w:color w:val="000000"/>
          <w:szCs w:val="21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五</w:t>
      </w:r>
      <w:r w:rsidRPr="002A1339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/>
          <w:bCs/>
          <w:color w:val="000000"/>
          <w:szCs w:val="21"/>
        </w:rPr>
        <w:t>商业保险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1.</w:t>
      </w:r>
      <w:r>
        <w:rPr>
          <w:rFonts w:ascii="宋体" w:hAnsi="宋体" w:hint="eastAsia"/>
          <w:bCs/>
          <w:color w:val="000000"/>
          <w:szCs w:val="21"/>
        </w:rPr>
        <w:t>功能</w:t>
      </w:r>
      <w:r>
        <w:rPr>
          <w:rFonts w:ascii="宋体" w:hAnsi="宋体"/>
          <w:bCs/>
          <w:color w:val="000000"/>
          <w:szCs w:val="21"/>
        </w:rPr>
        <w:t>：</w:t>
      </w:r>
      <w:r>
        <w:rPr>
          <w:rFonts w:ascii="宋体" w:hAnsi="宋体" w:hint="eastAsia"/>
          <w:bCs/>
          <w:color w:val="000000"/>
          <w:szCs w:val="21"/>
        </w:rPr>
        <w:t>购买</w:t>
      </w:r>
      <w:r>
        <w:rPr>
          <w:rFonts w:ascii="宋体" w:hAnsi="宋体"/>
          <w:bCs/>
          <w:color w:val="000000"/>
          <w:szCs w:val="21"/>
        </w:rPr>
        <w:t>商业保险是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bCs/>
          <w:color w:val="000000"/>
          <w:szCs w:val="21"/>
        </w:rPr>
        <w:t>的有效措施</w:t>
      </w:r>
      <w:r>
        <w:rPr>
          <w:rFonts w:ascii="宋体" w:hAnsi="宋体"/>
          <w:bCs/>
          <w:color w:val="000000"/>
          <w:szCs w:val="21"/>
        </w:rPr>
        <w:t>。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 w:hint="eastAsia"/>
          <w:bCs/>
          <w:color w:val="000000"/>
          <w:szCs w:val="21"/>
        </w:rPr>
        <w:t>种类</w:t>
      </w:r>
      <w:r>
        <w:rPr>
          <w:rFonts w:ascii="宋体" w:hAnsi="宋体"/>
          <w:bCs/>
          <w:color w:val="000000"/>
          <w:szCs w:val="21"/>
        </w:rPr>
        <w:t>：保险分为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87637D">
        <w:rPr>
          <w:rFonts w:ascii="宋体" w:hAnsi="宋体" w:hint="eastAsia"/>
          <w:bCs/>
          <w:color w:val="000000"/>
          <w:szCs w:val="21"/>
        </w:rPr>
        <w:t>和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87637D">
        <w:rPr>
          <w:rFonts w:ascii="宋体" w:hAnsi="宋体" w:hint="eastAsia"/>
          <w:bCs/>
          <w:color w:val="000000"/>
          <w:szCs w:val="21"/>
        </w:rPr>
        <w:t>两大类。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3.</w:t>
      </w:r>
      <w:r>
        <w:rPr>
          <w:rFonts w:ascii="宋体" w:hAnsi="宋体" w:hint="eastAsia"/>
          <w:bCs/>
          <w:color w:val="000000"/>
          <w:szCs w:val="21"/>
        </w:rPr>
        <w:t>订立</w:t>
      </w:r>
      <w:r>
        <w:rPr>
          <w:rFonts w:ascii="宋体" w:hAnsi="宋体"/>
          <w:bCs/>
          <w:color w:val="000000"/>
          <w:szCs w:val="21"/>
        </w:rPr>
        <w:t>保险合同应该遵循的原则有：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100AC3">
        <w:rPr>
          <w:rFonts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87637D">
        <w:rPr>
          <w:rFonts w:ascii="宋体" w:hAnsi="宋体" w:hint="eastAsia"/>
          <w:bCs/>
          <w:color w:val="000000"/>
          <w:szCs w:val="21"/>
        </w:rPr>
        <w:t>。</w:t>
      </w:r>
    </w:p>
    <w:p w:rsidR="00C315FA" w:rsidRDefault="00C315FA" w:rsidP="00C315FA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2A1339">
        <w:rPr>
          <w:rFonts w:ascii="宋体" w:hAnsi="宋体" w:hint="eastAsia"/>
          <w:b/>
          <w:bCs/>
          <w:color w:val="000000"/>
          <w:szCs w:val="21"/>
        </w:rPr>
        <w:t>（</w:t>
      </w:r>
      <w:r>
        <w:rPr>
          <w:rFonts w:ascii="宋体" w:hAnsi="宋体" w:hint="eastAsia"/>
          <w:b/>
          <w:bCs/>
          <w:color w:val="000000"/>
          <w:szCs w:val="21"/>
        </w:rPr>
        <w:t>六</w:t>
      </w:r>
      <w:r w:rsidRPr="002A1339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/>
          <w:bCs/>
          <w:color w:val="000000"/>
          <w:szCs w:val="21"/>
        </w:rPr>
        <w:t>投资理财</w:t>
      </w:r>
      <w:r>
        <w:rPr>
          <w:rFonts w:ascii="宋体" w:hAnsi="宋体"/>
          <w:b/>
          <w:bCs/>
          <w:color w:val="000000"/>
          <w:szCs w:val="21"/>
        </w:rPr>
        <w:t>的风险</w:t>
      </w:r>
      <w:r>
        <w:rPr>
          <w:rFonts w:ascii="宋体" w:hAnsi="宋体" w:hint="eastAsia"/>
          <w:b/>
          <w:bCs/>
          <w:color w:val="000000"/>
          <w:szCs w:val="21"/>
        </w:rPr>
        <w:t>与</w:t>
      </w:r>
      <w:r>
        <w:rPr>
          <w:rFonts w:ascii="宋体" w:hAnsi="宋体"/>
          <w:b/>
          <w:bCs/>
          <w:color w:val="000000"/>
          <w:szCs w:val="21"/>
        </w:rPr>
        <w:t>收益</w:t>
      </w:r>
    </w:p>
    <w:p w:rsidR="00C315FA" w:rsidRPr="00C535DA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1.</w:t>
      </w:r>
      <w:r w:rsidRPr="00C365C2">
        <w:rPr>
          <w:rFonts w:hint="eastAsia"/>
        </w:rPr>
        <w:t xml:space="preserve"> </w:t>
      </w:r>
      <w:r w:rsidRPr="00C365C2">
        <w:rPr>
          <w:rFonts w:ascii="宋体" w:hAnsi="宋体" w:hint="eastAsia"/>
          <w:bCs/>
          <w:color w:val="000000"/>
          <w:szCs w:val="21"/>
        </w:rPr>
        <w:t>收益与风险的基本关系是</w:t>
      </w:r>
      <w:r>
        <w:rPr>
          <w:rFonts w:ascii="宋体" w:hAnsi="宋体" w:hint="eastAsia"/>
          <w:bCs/>
          <w:color w:val="000000"/>
          <w:szCs w:val="21"/>
        </w:rPr>
        <w:t>：</w:t>
      </w:r>
      <w:r w:rsidRPr="00C365C2">
        <w:rPr>
          <w:rFonts w:ascii="宋体" w:hAnsi="宋体" w:hint="eastAsia"/>
          <w:bCs/>
          <w:color w:val="000000"/>
          <w:szCs w:val="21"/>
        </w:rPr>
        <w:t>风险较大的投资，其要求的收益率相对较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   </w:t>
      </w:r>
      <w:r w:rsidRPr="00C365C2">
        <w:rPr>
          <w:rFonts w:ascii="宋体" w:hAnsi="宋体" w:hint="eastAsia"/>
          <w:bCs/>
          <w:color w:val="000000"/>
          <w:szCs w:val="21"/>
        </w:rPr>
        <w:t>；反之，收益率较低的投资对象，风险相对较</w:t>
      </w:r>
      <w:r w:rsidRPr="00C365C2"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 w:rsidRPr="00C365C2">
        <w:rPr>
          <w:rFonts w:ascii="宋体" w:hAnsi="宋体"/>
          <w:bCs/>
          <w:color w:val="000000"/>
          <w:szCs w:val="21"/>
          <w:u w:val="single"/>
        </w:rPr>
        <w:t xml:space="preserve">        </w:t>
      </w:r>
      <w:r w:rsidRPr="00C365C2">
        <w:rPr>
          <w:rFonts w:ascii="宋体" w:hAnsi="宋体" w:hint="eastAsia"/>
          <w:bCs/>
          <w:color w:val="000000"/>
          <w:szCs w:val="21"/>
        </w:rPr>
        <w:t>。</w:t>
      </w:r>
    </w:p>
    <w:p w:rsidR="00C315FA" w:rsidRPr="004233B5" w:rsidRDefault="00C315FA" w:rsidP="00C315FA">
      <w:pPr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  <w:r w:rsidRPr="00C535DA">
        <w:rPr>
          <w:rFonts w:ascii="宋体" w:hAnsi="宋体"/>
          <w:bCs/>
          <w:color w:val="000000"/>
          <w:szCs w:val="21"/>
        </w:rPr>
        <w:t>2.</w:t>
      </w:r>
      <w:r w:rsidRPr="00874C75">
        <w:rPr>
          <w:rFonts w:hint="eastAsia"/>
        </w:rPr>
        <w:t xml:space="preserve"> </w:t>
      </w:r>
      <w:r w:rsidRPr="00874C75">
        <w:rPr>
          <w:rFonts w:ascii="宋体" w:hAnsi="宋体" w:hint="eastAsia"/>
          <w:bCs/>
          <w:color w:val="000000"/>
          <w:szCs w:val="21"/>
        </w:rPr>
        <w:t>公民个人投资理财应注意</w:t>
      </w:r>
      <w:r>
        <w:rPr>
          <w:rFonts w:ascii="宋体" w:hAnsi="宋体" w:hint="eastAsia"/>
          <w:bCs/>
          <w:color w:val="000000"/>
          <w:szCs w:val="21"/>
        </w:rPr>
        <w:t>：</w:t>
      </w:r>
      <w:r w:rsidRPr="00874C75">
        <w:rPr>
          <w:rFonts w:ascii="宋体" w:hAnsi="宋体" w:hint="eastAsia"/>
          <w:bCs/>
          <w:color w:val="000000"/>
          <w:szCs w:val="21"/>
        </w:rPr>
        <w:t>全面考虑各种投资方式的特点、结合居民家庭的实际需要、分散投资有利于降低投资风险、充分考虑家庭收入状况及预期、关注国家宏观经济政策的调整</w:t>
      </w:r>
      <w:r>
        <w:rPr>
          <w:rFonts w:ascii="宋体" w:hAnsi="宋体" w:hint="eastAsia"/>
          <w:bCs/>
          <w:color w:val="000000"/>
          <w:szCs w:val="21"/>
        </w:rPr>
        <w:t>等</w:t>
      </w:r>
      <w:bookmarkStart w:id="0" w:name="_GoBack"/>
      <w:bookmarkEnd w:id="0"/>
      <w:r>
        <w:rPr>
          <w:rFonts w:ascii="宋体" w:hAnsi="宋体"/>
          <w:bCs/>
          <w:color w:val="000000"/>
          <w:szCs w:val="21"/>
        </w:rPr>
        <w:t>。</w:t>
      </w:r>
    </w:p>
    <w:p w:rsidR="006F4B7F" w:rsidRPr="00C315FA" w:rsidRDefault="006F4B7F" w:rsidP="00C315FA">
      <w:pPr>
        <w:spacing w:line="240" w:lineRule="atLeast"/>
        <w:jc w:val="left"/>
        <w:rPr>
          <w:rFonts w:asciiTheme="minorEastAsia" w:hAnsiTheme="minorEastAsia"/>
          <w:szCs w:val="21"/>
        </w:rPr>
      </w:pPr>
    </w:p>
    <w:sectPr w:rsidR="006F4B7F" w:rsidRPr="00C315FA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ED7" w:rsidRDefault="009F0ED7" w:rsidP="008242C3">
      <w:r>
        <w:separator/>
      </w:r>
    </w:p>
  </w:endnote>
  <w:endnote w:type="continuationSeparator" w:id="0">
    <w:p w:rsidR="009F0ED7" w:rsidRDefault="009F0ED7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8A4B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F10" w:rsidRPr="00931F1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ED7" w:rsidRDefault="009F0ED7" w:rsidP="008242C3">
      <w:r>
        <w:separator/>
      </w:r>
    </w:p>
  </w:footnote>
  <w:footnote w:type="continuationSeparator" w:id="0">
    <w:p w:rsidR="009F0ED7" w:rsidRDefault="009F0ED7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26E1"/>
    <w:rsid w:val="0009374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958A0"/>
    <w:rsid w:val="008A39E7"/>
    <w:rsid w:val="008A4BC0"/>
    <w:rsid w:val="008A6944"/>
    <w:rsid w:val="008B7D19"/>
    <w:rsid w:val="008E49B2"/>
    <w:rsid w:val="008F4D58"/>
    <w:rsid w:val="008F570A"/>
    <w:rsid w:val="0090392E"/>
    <w:rsid w:val="009234A0"/>
    <w:rsid w:val="00931F10"/>
    <w:rsid w:val="00934335"/>
    <w:rsid w:val="00964EB0"/>
    <w:rsid w:val="009731D3"/>
    <w:rsid w:val="00981803"/>
    <w:rsid w:val="00997B0F"/>
    <w:rsid w:val="009E67C6"/>
    <w:rsid w:val="009F0ED7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2FAF"/>
    <w:rsid w:val="00B771B7"/>
    <w:rsid w:val="00B92FE1"/>
    <w:rsid w:val="00BE52D6"/>
    <w:rsid w:val="00C315FA"/>
    <w:rsid w:val="00C463BF"/>
    <w:rsid w:val="00C52B05"/>
    <w:rsid w:val="00C85B4E"/>
    <w:rsid w:val="00CA3EA7"/>
    <w:rsid w:val="00CA6DAF"/>
    <w:rsid w:val="00CB1304"/>
    <w:rsid w:val="00CC31CE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3BD49"/>
  <w15:docId w15:val="{B11CBC06-CCDF-4D39-9497-6BC1A26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7</cp:revision>
  <dcterms:created xsi:type="dcterms:W3CDTF">2020-02-04T14:14:00Z</dcterms:created>
  <dcterms:modified xsi:type="dcterms:W3CDTF">2020-02-14T06:46:00Z</dcterms:modified>
</cp:coreProperties>
</file>