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课时《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  <w:t>两汉时期的政治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阅读材料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回答问题。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材料一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汉初诸臣，惟张良出身最贵……其余陈平、王陵、陆贾……等皆白徒（农民）……一时人才皆出其中，致身将相，前此所未有也。盖秦汉间为天地一大变局。</w:t>
      </w:r>
    </w:p>
    <w:p>
      <w:pPr>
        <w:spacing w:line="360" w:lineRule="auto"/>
        <w:jc w:val="right"/>
        <w:textAlignment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——赵翼《廿二史札记》</w:t>
      </w:r>
    </w:p>
    <w:p>
      <w:pPr>
        <w:spacing w:line="360" w:lineRule="auto"/>
        <w:jc w:val="left"/>
        <w:textAlignment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材料二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西汉一代之制：凡为相者，就爵而言，必封侯……丞相为百官之长，位高而权重。……西汉前半期“常以列侯为丞相”。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——《中国宰相制度》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材料三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武帝元封年间，名臣文武欲尽。汉兴功臣受封者百余人……子孙骄溢，忘其先……至太初（武帝年号，公元前2世纪末）百余年间，见侯五，余皆坐法陨命亡国。……武帝以后，宰相之材不能不取于列侯之外。</w:t>
      </w:r>
    </w:p>
    <w:p>
      <w:pPr>
        <w:spacing w:line="360" w:lineRule="auto"/>
        <w:jc w:val="right"/>
        <w:textAlignment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——《中国宰相制度》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材料四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中朝，内朝也。大司马、左右前后将军、侍中、常侍、散骑，诸吏为中朝。丞相以下至六百石为外朝。……至昭宣之世，大将军权兼中外……在内朝预闻政事。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——《汉书·刘辅传》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请回答：</w:t>
      </w:r>
      <w:bookmarkEnd w:id="0"/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（1）材料一中所言“盖秦汉间为天地一大变局”指的是什么?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结合材料二、三，说明汉武帝选任丞相的渠道及原因。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（3）材料四叙述的是什么制度?材料三、四叙述的汉代中央官制的变化反映了什么实质问题?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655F3"/>
    <w:multiLevelType w:val="singleLevel"/>
    <w:tmpl w:val="6B3655F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C6129"/>
    <w:rsid w:val="0BC307C5"/>
    <w:rsid w:val="296738CF"/>
    <w:rsid w:val="308C6129"/>
    <w:rsid w:val="5CD2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2020-02-05T04:22:00Z</dcterms:created>
  <dc:creator>徐海滨</dc:creator>
  <cp:lastModifiedBy>徐海滨</cp:lastModifiedBy>
  <dcterms:modified xsi:type="dcterms:W3CDTF">2020-02-13T11:38:50Z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