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</w:rPr>
        <w:t>高二年级历史第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</w:rPr>
        <w:t>课时《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eastAsia="zh-CN"/>
        </w:rPr>
        <w:t>两汉时期的政治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</w:rPr>
        <w:t>》课后作业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1.西汉初年，曹参向学者盖公请教治民之道，盖公曰：“治道贵清静而民自定”。曹参采纳此说，治理地方很有成效。后来曹参担任丞相，把这一方针推行于全国。采用这种治国方针要解决的问题是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A.平息战争，稳定社会秩序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ab/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ab/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ab/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B.久经战乱，社会经济凋敝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C.郡国并行，地方势力强大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ab/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ab/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ab/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D.汉承秦制，推行郡县制度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2.刘邦认为：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</w:rPr>
        <w:t>“(秦始皇)为皇帝，而子弟为匹夫，内亡(通“无”)骨肉根本之辅，外亡尺土藩翼之卫。”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汉初统治者为此而采取的措施是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A.废除分封制                     B.分封诸侯王  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C.颁布推恩令                     D.设置尚书令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3.在平定七国之乱以后，汉景帝在原来吴国、楚国、赵国、齐国四国旧地，陆续分封皇子13人为诸侯王。对此措施的评论，正确的是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A.形成了郡国并行的行政体制        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B.使王国领地缩小，亲缘更近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C.以宗室子弟取代异姓诸侯王        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D.扩大王国的辖区，巩固皇权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4.2016年11月30日，中国二十四节气正式成为世界非物质文化遗产。将二十四节气最早定于历法的是公元前104年制定的《太初（汉武帝年号）历》。当时的中枢权力体系为</w:t>
      </w:r>
    </w:p>
    <w:p>
      <w:pPr>
        <w:spacing w:line="440" w:lineRule="exact"/>
        <w:rPr>
          <w:color w:val="000000" w:themeColor="text1"/>
        </w:rPr>
      </w:pPr>
      <w:r>
        <w:rPr>
          <w:color w:val="000000" w:themeColor="text1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146685</wp:posOffset>
            </wp:positionV>
            <wp:extent cx="1859280" cy="1175385"/>
            <wp:effectExtent l="0" t="0" r="0" b="0"/>
            <wp:wrapSquare wrapText="bothSides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color w:val="000000" w:themeColor="text1"/>
        </w:rPr>
      </w:pPr>
      <w:r>
        <w:rPr>
          <w:color w:val="000000" w:themeColor="text1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525780</wp:posOffset>
            </wp:positionH>
            <wp:positionV relativeFrom="page">
              <wp:posOffset>7563485</wp:posOffset>
            </wp:positionV>
            <wp:extent cx="1569720" cy="792480"/>
            <wp:effectExtent l="0" t="0" r="0" b="0"/>
            <wp:wrapTight wrapText="bothSides">
              <wp:wrapPolygon>
                <wp:start x="6291" y="415"/>
                <wp:lineTo x="3984" y="7062"/>
                <wp:lineTo x="1468" y="8308"/>
                <wp:lineTo x="1049" y="9554"/>
                <wp:lineTo x="1049" y="20354"/>
                <wp:lineTo x="21390" y="20354"/>
                <wp:lineTo x="21390" y="8723"/>
                <wp:lineTo x="21181" y="8308"/>
                <wp:lineTo x="19293" y="7062"/>
                <wp:lineTo x="17406" y="415"/>
                <wp:lineTo x="6291" y="415"/>
              </wp:wrapPolygon>
            </wp:wrapTight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</w:rPr>
        <w:t xml:space="preserve">   </w:t>
      </w:r>
    </w:p>
    <w:p>
      <w:pPr>
        <w:spacing w:line="440" w:lineRule="exact"/>
        <w:rPr>
          <w:color w:val="000000" w:themeColor="text1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</w:t>
      </w:r>
    </w:p>
    <w:p>
      <w:pPr>
        <w:spacing w:line="440" w:lineRule="exac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spacing w:line="440" w:lineRule="exact"/>
        <w:ind w:firstLine="1260" w:firstLineChars="6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A                                 </w:t>
      </w:r>
      <w:r>
        <w:rPr>
          <w:rFonts w:hint="eastAsia" w:asciiTheme="minorEastAsia" w:hAnsiTheme="minorEastAsia"/>
          <w:color w:val="000000" w:themeColor="text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000000" w:themeColor="text1"/>
        </w:rPr>
        <w:t>B</w: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</w:rPr>
      </w:pPr>
    </w:p>
    <w:p>
      <w:pPr>
        <w:spacing w:line="440" w:lineRule="exact"/>
        <w:rPr>
          <w:color w:val="000000" w:themeColor="text1"/>
        </w:rPr>
      </w:pPr>
    </w:p>
    <w:p>
      <w:pPr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</w:p>
    <w:p>
      <w:pPr>
        <w:spacing w:line="440" w:lineRule="exact"/>
        <w:ind w:firstLine="1470" w:firstLineChars="7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color w:val="000000" w:themeColor="text1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39370</wp:posOffset>
            </wp:positionV>
            <wp:extent cx="1676400" cy="1207135"/>
            <wp:effectExtent l="0" t="0" r="0" b="0"/>
            <wp:wrapSquare wrapText="bothSides"/>
            <wp:docPr id="25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</w:t>
      </w:r>
    </w:p>
    <w:p>
      <w:pPr>
        <w:spacing w:line="440" w:lineRule="exact"/>
        <w:ind w:firstLine="1470" w:firstLineChars="7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color w:val="000000" w:themeColor="text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783080" cy="952500"/>
            <wp:effectExtent l="0" t="0" r="0" b="0"/>
            <wp:wrapSquare wrapText="bothSides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1260" w:firstLineChars="600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asciiTheme="minorEastAsia" w:hAnsiTheme="minorEastAsia" w:eastAsiaTheme="minorEastAsia"/>
          <w:color w:val="000000" w:themeColor="text1"/>
        </w:rPr>
        <w:t xml:space="preserve">C          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                            </w:t>
      </w:r>
      <w:r>
        <w:rPr>
          <w:rFonts w:asciiTheme="minorEastAsia" w:hAnsiTheme="minorEastAsia" w:eastAsiaTheme="minorEastAsia"/>
          <w:color w:val="000000" w:themeColor="text1"/>
        </w:rPr>
        <w:t>D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5.汉武帝规定诸侯王除由嫡长子继承王位外，“以私恩自裂地，分其子弟”为列侯，而由皇帝制定这些侯国的名号，分别隶属于汉郡。由此可见，“推恩令”有效的结局了封国问题的原因是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A.王国从此受汉郡管辖             B.西汉从此不再有王国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C.列侯数多则王国力弱             D.王国嫡长子没有领地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6.汉武帝统治时期，全国划分为十三个州部，每州部设刺史一名。当时刺史的主要职责是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A.监察地方政治                   B.管理地方行政   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C.征收地方赋税                   D.掌管地方军事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7.日本学者和田清认为中国官制的一个特色是“波纹式的循环发生”，即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</w:rPr>
        <w:t>“天子个人左右的微臣逐渐获得权力，压倒了政府的大臣，终于取而代之。但取代之后，其中又别有私臣变成实权者，再来取代现有的政府大臣。如此后浪推前浪式的往复不已。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”以下官职的设置符合这一特色的是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A.秦朝的三公九卿                 B.汉朝的“中朝”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C.隋唐的三省六部                 D.宋朝的枢密院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8.汉武帝时“ 尚书” 一职日益重要，大臣们的奏疏不能直接进呈皇帝，要送尚书署，后来尚书台就成了皇帝的机要秘书处。汉武帝还任用一些上书言事的贤良、文学，让他们出入宫廷，与尚书共议国事，这一做法的作用是　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A.削弱王国势力，加强中央集权        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B.制衡丞相势力，强化君主专制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C.重用儒家学者，提高儒学地位          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D.任用外戚权臣，削弱丞相权力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9.（1921年梁启超语）“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</w:rPr>
        <w:t>我想中国历史上有意义的革命，只有三回：第一回是周朝的革命，打破黄帝、尧、舜以来部落政治的局面；第二回是汉朝的革命，打破三代以来贵族政治的局面；第三回就是我们今天所纪念的辛亥革命了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。”其中第二回革命主要是指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①察举制的实行   ②中央集权制度的初步发展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③儒学正统地位的确立   ④分封制的建立 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A.①②③        B.②③④        C.①③④        D.①②④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10.“汉承秦制”，亦有创设。以下属西汉创设的制度有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①郡县行政  ②刺史监察  ③察举选官  ④皇帝独尊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 xml:space="preserve">A.①②        B.②③        C.③④        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</w:rPr>
        <w:t>D.②④</w:t>
      </w:r>
    </w:p>
    <w:p>
      <w:pPr>
        <w:spacing w:line="360" w:lineRule="auto"/>
        <w:jc w:val="left"/>
        <w:textAlignment w:val="center"/>
        <w:rPr>
          <w:rFonts w:hint="default" w:cs="宋体" w:asciiTheme="minorEastAsia" w:hAnsiTheme="minorEastAsia"/>
          <w:color w:val="000000" w:themeColor="text1"/>
          <w:sz w:val="24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Theme="minorEastAsia" w:hAnsiTheme="minorEastAsia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47956A3"/>
    <w:rsid w:val="129647D2"/>
    <w:rsid w:val="15DB1188"/>
    <w:rsid w:val="29DD2B7B"/>
    <w:rsid w:val="2A1E6CC7"/>
    <w:rsid w:val="356557A3"/>
    <w:rsid w:val="41936331"/>
    <w:rsid w:val="4E744000"/>
    <w:rsid w:val="50A02D11"/>
    <w:rsid w:val="52967331"/>
    <w:rsid w:val="545734A1"/>
    <w:rsid w:val="5A4519C7"/>
    <w:rsid w:val="68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1329</Characters>
  <Lines>11</Lines>
  <Paragraphs>3</Paragraphs>
  <TotalTime>66</TotalTime>
  <ScaleCrop>false</ScaleCrop>
  <LinksUpToDate>false</LinksUpToDate>
  <CharactersWithSpaces>1559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2020-02-13T11:33:04Z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