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cs="Times New Roman"/>
          <w:b/>
          <w:bCs/>
          <w:sz w:val="32"/>
          <w:szCs w:val="40"/>
        </w:rPr>
      </w:pPr>
      <w:r>
        <w:rPr>
          <w:rFonts w:hint="eastAsia" w:ascii="Times New Roman" w:hAnsi="Times New Roman" w:cs="Times New Roman"/>
          <w:b/>
          <w:bCs/>
          <w:sz w:val="32"/>
          <w:szCs w:val="40"/>
        </w:rPr>
        <w:t>高二年级化学第</w:t>
      </w:r>
      <w:r>
        <w:rPr>
          <w:rFonts w:ascii="Times New Roman" w:hAnsi="Times New Roman" w:cs="Times New Roman"/>
          <w:b/>
          <w:bCs/>
          <w:sz w:val="32"/>
          <w:szCs w:val="40"/>
        </w:rPr>
        <w:t>7</w:t>
      </w:r>
      <w:r>
        <w:rPr>
          <w:rFonts w:hint="eastAsia" w:ascii="Times New Roman" w:hAnsi="Times New Roman" w:cs="Times New Roman"/>
          <w:b/>
          <w:bCs/>
          <w:sz w:val="32"/>
          <w:szCs w:val="40"/>
        </w:rPr>
        <w:t>课时《有机物的分离提纯A》学习指南</w:t>
      </w:r>
    </w:p>
    <w:tbl>
      <w:tblPr>
        <w:tblStyle w:val="7"/>
        <w:tblpPr w:leftFromText="180" w:rightFromText="180" w:vertAnchor="text" w:horzAnchor="margin" w:tblpY="158"/>
        <w:tblOverlap w:val="never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82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8"/>
                <w:szCs w:val="28"/>
              </w:rPr>
              <w:t>学习目标</w:t>
            </w:r>
          </w:p>
        </w:tc>
        <w:tc>
          <w:tcPr>
            <w:tcW w:w="8221" w:type="dxa"/>
          </w:tcPr>
          <w:p>
            <w:pPr>
              <w:spacing w:line="360" w:lineRule="auto"/>
              <w:rPr>
                <w:rFonts w:ascii="Times New Roman" w:hAnsi="Times New Roman" w:eastAsia="楷体" w:cs="Times New Roman"/>
                <w:bCs/>
                <w:szCs w:val="21"/>
              </w:rPr>
            </w:pPr>
            <w:r>
              <w:rPr>
                <w:rFonts w:hint="eastAsia" w:ascii="Times New Roman" w:hAnsi="Times New Roman" w:eastAsia="楷体" w:cs="Times New Roman"/>
                <w:bCs/>
                <w:szCs w:val="21"/>
              </w:rPr>
              <w:t>1.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  <w:lang w:val="en-US" w:eastAsia="zh-CN"/>
              </w:rPr>
              <w:t>通过对课本实验的再认识，能说出有机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</w:rPr>
              <w:t>混合物分离提纯的原则</w:t>
            </w:r>
            <w:r>
              <w:rPr>
                <w:rFonts w:ascii="Times New Roman" w:hAnsi="Times New Roman" w:eastAsia="楷体" w:cs="Times New Roman"/>
                <w:bCs/>
                <w:szCs w:val="21"/>
              </w:rPr>
              <w:t>，形成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</w:rPr>
              <w:t>分离提纯有机物</w:t>
            </w:r>
            <w:r>
              <w:rPr>
                <w:rFonts w:ascii="Times New Roman" w:hAnsi="Times New Roman" w:eastAsia="楷体" w:cs="Times New Roman"/>
                <w:bCs/>
                <w:szCs w:val="21"/>
              </w:rPr>
              <w:t>的一般思路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  <w:lang w:eastAsia="zh-CN"/>
              </w:rPr>
              <w:t>。</w:t>
            </w:r>
            <w:bookmarkStart w:id="0" w:name="_GoBack"/>
            <w:bookmarkEnd w:id="0"/>
          </w:p>
          <w:p>
            <w:pPr>
              <w:spacing w:line="360" w:lineRule="auto"/>
              <w:rPr>
                <w:rFonts w:ascii="Times New Roman" w:hAnsi="Times New Roman" w:eastAsia="楷体" w:cs="Times New Roman"/>
                <w:bCs/>
                <w:szCs w:val="21"/>
              </w:rPr>
            </w:pPr>
            <w:r>
              <w:rPr>
                <w:rFonts w:hint="eastAsia" w:ascii="Times New Roman" w:hAnsi="Times New Roman" w:eastAsia="楷体" w:cs="Times New Roman"/>
                <w:bCs/>
                <w:szCs w:val="21"/>
              </w:rPr>
              <w:t>2.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  <w:lang w:val="en-US" w:eastAsia="zh-CN"/>
              </w:rPr>
              <w:t>能根据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</w:rPr>
              <w:t>有机物物理性质和化学性质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  <w:lang w:val="en-US" w:eastAsia="zh-CN"/>
              </w:rPr>
              <w:t>的差异，</w:t>
            </w:r>
            <w:r>
              <w:rPr>
                <w:rFonts w:hint="eastAsia" w:ascii="Times New Roman" w:hAnsi="Times New Roman" w:eastAsia="楷体" w:cs="Times New Roman"/>
                <w:bCs/>
                <w:szCs w:val="21"/>
              </w:rPr>
              <w:t>选择合理方案分离提纯有机物，并能优化实验方案。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8"/>
                <w:szCs w:val="28"/>
              </w:rPr>
              <w:t>学法指导</w:t>
            </w:r>
          </w:p>
        </w:tc>
        <w:tc>
          <w:tcPr>
            <w:tcW w:w="8221" w:type="dxa"/>
          </w:tcPr>
          <w:p>
            <w:pPr>
              <w:spacing w:line="360" w:lineRule="auto"/>
              <w:rPr>
                <w:rFonts w:ascii="Times New Roman" w:hAnsi="Times New Roman" w:eastAsia="楷体" w:cs="Times New Roman"/>
                <w:bCs/>
                <w:szCs w:val="21"/>
              </w:rPr>
            </w:pPr>
            <w:r>
              <w:rPr>
                <w:rFonts w:hint="eastAsia" w:ascii="Times New Roman" w:hAnsi="Times New Roman" w:eastAsia="楷体" w:cs="Times New Roman"/>
                <w:bCs/>
                <w:szCs w:val="21"/>
              </w:rPr>
              <w:t>学会抓住混合物分离提纯的原则，学会找出物质之间的物理性质差异、考虑官能团的性质差异，以便通过转化实现有机物的分离提纯。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5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8"/>
                <w:szCs w:val="28"/>
              </w:rPr>
              <w:t>学习任务</w:t>
            </w:r>
          </w:p>
        </w:tc>
        <w:tc>
          <w:tcPr>
            <w:tcW w:w="8221" w:type="dxa"/>
          </w:tcPr>
          <w:p>
            <w:pPr>
              <w:spacing w:line="360" w:lineRule="auto"/>
              <w:rPr>
                <w:rFonts w:cs="+mn-cs" w:asciiTheme="minorEastAsia" w:hAnsiTheme="minorEastAsia"/>
                <w:b/>
                <w:bCs/>
                <w:kern w:val="24"/>
                <w:szCs w:val="21"/>
              </w:rPr>
            </w:pPr>
            <w:r>
              <w:rPr>
                <w:rFonts w:hint="eastAsia" w:cs="+mn-cs" w:asciiTheme="minorEastAsia" w:hAnsiTheme="minorEastAsia"/>
                <w:b/>
                <w:bCs/>
                <w:kern w:val="24"/>
                <w:szCs w:val="21"/>
              </w:rPr>
              <w:t>有机物的分离和提纯</w:t>
            </w:r>
          </w:p>
          <w:p>
            <w:pPr>
              <w:spacing w:line="360" w:lineRule="auto"/>
              <w:rPr>
                <w:rFonts w:cs="+mn-cs" w:asciiTheme="minorEastAsia" w:hAnsiTheme="minorEastAsia"/>
                <w:kern w:val="24"/>
                <w:szCs w:val="21"/>
              </w:rPr>
            </w:pPr>
            <w:r>
              <w:rPr>
                <w:rFonts w:hint="eastAsia" w:cs="+mn-cs" w:asciiTheme="minorEastAsia" w:hAnsiTheme="minorEastAsia"/>
                <w:kern w:val="24"/>
                <w:szCs w:val="21"/>
              </w:rPr>
              <w:t>利用有机物与杂质物理性质或化学性质的差异，将混合物的各种成分分离开</w:t>
            </w:r>
          </w:p>
          <w:p>
            <w:pPr>
              <w:spacing w:line="360" w:lineRule="auto"/>
              <w:rPr>
                <w:rFonts w:cs="+mn-cs" w:asciiTheme="minorEastAsia" w:hAnsiTheme="minorEastAsia"/>
                <w:kern w:val="24"/>
                <w:szCs w:val="21"/>
              </w:rPr>
            </w:pPr>
            <w:r>
              <w:rPr>
                <w:rFonts w:hint="eastAsia" w:cs="+mn-cs" w:asciiTheme="minorEastAsia" w:hAnsiTheme="minorEastAsia"/>
                <w:kern w:val="24"/>
                <w:szCs w:val="21"/>
              </w:rPr>
              <w:t>分离提纯的关键是能找出混合体系中的物质，并找出有机物与杂质的性质的差异，挑选出合理的试剂和实验操作，当存在多种方法时，选择最佳除杂途径</w:t>
            </w:r>
          </w:p>
          <w:p>
            <w:pPr>
              <w:pStyle w:val="5"/>
              <w:spacing w:before="0" w:beforeAutospacing="0" w:after="0" w:afterAutospacing="0" w:line="288" w:lineRule="auto"/>
              <w:textAlignment w:val="baseline"/>
              <w:rPr>
                <w:rFonts w:cs="+mn-cs" w:asciiTheme="minorEastAsia" w:hAnsiTheme="minorEastAsia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cs="+mn-cs" w:asciiTheme="minorEastAsia" w:hAnsiTheme="minorEastAsia" w:eastAsiaTheme="minorEastAsia"/>
                <w:b/>
                <w:bCs/>
                <w:kern w:val="24"/>
                <w:sz w:val="21"/>
                <w:szCs w:val="21"/>
              </w:rPr>
              <w:t>物质分离提纯的</w:t>
            </w:r>
            <w:r>
              <w:rPr>
                <w:rFonts w:cs="+mn-cs" w:asciiTheme="minorEastAsia" w:hAnsiTheme="minorEastAsia"/>
                <w:b/>
                <w:bCs/>
                <w:kern w:val="24"/>
                <w:sz w:val="21"/>
                <w:szCs w:val="21"/>
              </w:rPr>
              <w:t>“四原则”：</w:t>
            </w:r>
          </w:p>
          <w:p>
            <w:pPr>
              <w:pStyle w:val="5"/>
              <w:spacing w:before="0" w:beforeAutospacing="0" w:after="0" w:afterAutospacing="0" w:line="288" w:lineRule="auto"/>
              <w:ind w:firstLine="105" w:firstLineChars="50"/>
              <w:textAlignment w:val="baseline"/>
              <w:rPr>
                <w:rFonts w:cs="+mn-cs" w:asciiTheme="minorEastAsia" w:hAnsiTheme="minorEastAsia"/>
                <w:kern w:val="24"/>
                <w:sz w:val="21"/>
                <w:szCs w:val="21"/>
              </w:rPr>
            </w:pP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>不增</w:t>
            </w:r>
            <w:r>
              <w:rPr>
                <w:rFonts w:cs="+mn-cs" w:asciiTheme="minorEastAsia" w:hAnsiTheme="minorEastAsia"/>
                <w:kern w:val="24"/>
                <w:sz w:val="21"/>
                <w:szCs w:val="21"/>
              </w:rPr>
              <w:t>(</w:t>
            </w: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>不引入新杂质</w:t>
            </w:r>
            <w:r>
              <w:rPr>
                <w:rFonts w:cs="+mn-cs" w:asciiTheme="minorEastAsia" w:hAnsiTheme="minorEastAsia"/>
                <w:kern w:val="24"/>
                <w:sz w:val="21"/>
                <w:szCs w:val="21"/>
              </w:rPr>
              <w:t>)</w:t>
            </w: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>、</w:t>
            </w:r>
            <w:r>
              <w:rPr>
                <w:rFonts w:cs="+mn-cs" w:asciiTheme="minorEastAsia" w:hAnsiTheme="minorEastAsia"/>
                <w:kern w:val="24"/>
                <w:sz w:val="21"/>
                <w:szCs w:val="21"/>
              </w:rPr>
              <w:t xml:space="preserve">  </w:t>
            </w: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 xml:space="preserve">    不减</w:t>
            </w:r>
            <w:r>
              <w:rPr>
                <w:rFonts w:cs="+mn-cs" w:asciiTheme="minorEastAsia" w:hAnsiTheme="minorEastAsia"/>
                <w:kern w:val="24"/>
                <w:sz w:val="21"/>
                <w:szCs w:val="21"/>
              </w:rPr>
              <w:t>(</w:t>
            </w: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>尽量不减少被提纯物质</w:t>
            </w:r>
            <w:r>
              <w:rPr>
                <w:rFonts w:cs="+mn-cs" w:asciiTheme="minorEastAsia" w:hAnsiTheme="minorEastAsia"/>
                <w:kern w:val="24"/>
                <w:sz w:val="21"/>
                <w:szCs w:val="21"/>
              </w:rPr>
              <w:t>)</w:t>
            </w:r>
          </w:p>
          <w:p>
            <w:pPr>
              <w:pStyle w:val="5"/>
              <w:spacing w:before="0" w:beforeAutospacing="0" w:after="0" w:afterAutospacing="0" w:line="288" w:lineRule="auto"/>
              <w:textAlignment w:val="baseline"/>
              <w:rPr>
                <w:rFonts w:cs="+mn-cs" w:asciiTheme="minorEastAsia" w:hAnsiTheme="minorEastAsia"/>
                <w:kern w:val="24"/>
                <w:sz w:val="21"/>
                <w:szCs w:val="21"/>
              </w:rPr>
            </w:pP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>易分</w:t>
            </w:r>
            <w:r>
              <w:rPr>
                <w:rFonts w:cs="+mn-cs" w:asciiTheme="minorEastAsia" w:hAnsiTheme="minorEastAsia"/>
                <w:kern w:val="24"/>
                <w:sz w:val="21"/>
                <w:szCs w:val="21"/>
              </w:rPr>
              <w:t>(</w:t>
            </w: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>被提纯物与杂质易分离、    易复原（被提纯物易复原）</w:t>
            </w:r>
          </w:p>
          <w:p>
            <w:pPr>
              <w:pStyle w:val="5"/>
              <w:spacing w:before="0" w:beforeAutospacing="0" w:after="0" w:afterAutospacing="0" w:line="288" w:lineRule="auto"/>
              <w:textAlignment w:val="baseline"/>
              <w:rPr>
                <w:rFonts w:cs="+mn-cs" w:asciiTheme="minorEastAsia" w:hAnsiTheme="minorEastAsia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cs="+mn-cs" w:asciiTheme="minorEastAsia" w:hAnsiTheme="minorEastAsia" w:eastAsiaTheme="minorEastAsia"/>
                <w:b/>
                <w:bCs/>
                <w:kern w:val="24"/>
                <w:sz w:val="21"/>
                <w:szCs w:val="21"/>
              </w:rPr>
              <w:t>物质分离提纯的</w:t>
            </w:r>
            <w:r>
              <w:rPr>
                <w:rFonts w:cs="+mn-cs" w:asciiTheme="minorEastAsia" w:hAnsiTheme="minorEastAsia"/>
                <w:b/>
                <w:bCs/>
                <w:kern w:val="24"/>
                <w:sz w:val="21"/>
                <w:szCs w:val="21"/>
              </w:rPr>
              <w:t>“三必须”：</w:t>
            </w:r>
          </w:p>
          <w:p>
            <w:pPr>
              <w:pStyle w:val="5"/>
              <w:spacing w:before="0" w:beforeAutospacing="0" w:after="0" w:afterAutospacing="0" w:line="288" w:lineRule="auto"/>
              <w:textAlignment w:val="baseline"/>
              <w:rPr>
                <w:rFonts w:cs="+mn-cs" w:asciiTheme="minorEastAsia" w:hAnsiTheme="minorEastAsia"/>
                <w:kern w:val="24"/>
                <w:sz w:val="21"/>
                <w:szCs w:val="21"/>
              </w:rPr>
            </w:pP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 xml:space="preserve"> 除杂试剂必须过量、过量试剂必须除尽、选择最佳的除杂途径</w:t>
            </w:r>
          </w:p>
          <w:p>
            <w:pPr>
              <w:pStyle w:val="5"/>
              <w:spacing w:before="0" w:beforeAutospacing="0" w:after="0" w:afterAutospacing="0" w:line="288" w:lineRule="auto"/>
              <w:textAlignment w:val="baseline"/>
              <w:rPr>
                <w:rFonts w:cs="+mn-cs" w:asciiTheme="minorEastAsia" w:hAnsiTheme="minorEastAsia"/>
                <w:kern w:val="24"/>
                <w:sz w:val="21"/>
                <w:szCs w:val="21"/>
              </w:rPr>
            </w:pPr>
            <w:r>
              <w:rPr>
                <w:rFonts w:hint="eastAsia" w:cs="+mn-cs" w:asciiTheme="minorEastAsia" w:hAnsiTheme="minorEastAsia"/>
                <w:kern w:val="24"/>
                <w:sz w:val="21"/>
                <w:szCs w:val="21"/>
              </w:rPr>
              <w:t>通过学习，梳理知识，认真填写下面两个表格：</w:t>
            </w:r>
          </w:p>
          <w:p>
            <w:pPr>
              <w:pStyle w:val="5"/>
              <w:spacing w:before="0" w:beforeAutospacing="0" w:after="0" w:afterAutospacing="0" w:line="288" w:lineRule="auto"/>
              <w:ind w:left="360"/>
              <w:textAlignment w:val="baseline"/>
              <w:rPr>
                <w:rFonts w:cs="+mn-cs" w:asciiTheme="minorEastAsia" w:hAnsiTheme="minorEastAsia"/>
                <w:kern w:val="24"/>
                <w:sz w:val="21"/>
                <w:szCs w:val="21"/>
              </w:rPr>
            </w:pPr>
            <w:r>
              <w:pict>
                <v:shape id="_x0000_s1026" o:spid="_x0000_s1026" o:spt="202" type="#_x0000_t202" style="position:absolute;left:0pt;margin-left:-0.25pt;margin-top:5.55pt;height:170.15pt;width:328.85pt;mso-wrap-distance-bottom:3.6pt;mso-wrap-distance-left:9pt;mso-wrap-distance-right:9pt;mso-wrap-distance-top:3.6pt;z-index:251659264;mso-width-relative:margin;mso-height-relative:margin;" stroked="f" coordsize="21600,21600">
                  <v:path/>
                  <v:fill focussize="0,0"/>
                  <v:stroke on="f" joinstyle="miter"/>
                  <v:imagedata o:title=""/>
                  <o:lock v:ext="edit"/>
                  <v:textbox>
                    <w:txbxContent>
                      <w:tbl>
                        <w:tblPr>
                          <w:tblStyle w:val="6"/>
                          <w:tblW w:w="6258" w:type="dxa"/>
                          <w:tblInd w:w="108" w:type="dxa"/>
                          <w:tblLayout w:type="autofit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>
                        <w:tblGrid>
                          <w:gridCol w:w="2547"/>
                          <w:gridCol w:w="3711"/>
                        </w:tblGrid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6258" w:type="dxa"/>
                              <w:gridSpan w:val="2"/>
                              <w:tcBorders>
                                <w:top w:val="single" w:color="auto" w:sz="4" w:space="0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有机物的物理性质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6258" w:type="dxa"/>
                              <w:gridSpan w:val="2"/>
                              <w:tcBorders>
                                <w:top w:val="single" w:color="auto" w:sz="4" w:space="0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2547" w:type="dxa"/>
                              <w:tcBorders>
                                <w:top w:val="nil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常温下呈气态</w:t>
                              </w:r>
                            </w:p>
                          </w:tc>
                          <w:tc>
                            <w:tcPr>
                              <w:tcW w:w="3711" w:type="dxa"/>
                              <w:tcBorders>
                                <w:top w:val="nil"/>
                                <w:left w:val="nil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2547" w:type="dxa"/>
                              <w:tcBorders>
                                <w:top w:val="nil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易溶于水</w:t>
                              </w:r>
                            </w:p>
                          </w:tc>
                          <w:tc>
                            <w:tcPr>
                              <w:tcW w:w="3711" w:type="dxa"/>
                              <w:tcBorders>
                                <w:top w:val="nil"/>
                                <w:left w:val="nil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2547" w:type="dxa"/>
                              <w:tcBorders>
                                <w:top w:val="nil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微溶于水</w:t>
                              </w:r>
                            </w:p>
                          </w:tc>
                          <w:tc>
                            <w:tcPr>
                              <w:tcW w:w="3711" w:type="dxa"/>
                              <w:tcBorders>
                                <w:top w:val="nil"/>
                                <w:left w:val="nil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2547" w:type="dxa"/>
                              <w:tcBorders>
                                <w:top w:val="nil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与水分层、密度比水大</w:t>
                              </w:r>
                            </w:p>
                          </w:tc>
                          <w:tc>
                            <w:tcPr>
                              <w:tcW w:w="3711" w:type="dxa"/>
                              <w:tcBorders>
                                <w:top w:val="nil"/>
                                <w:left w:val="nil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2547" w:type="dxa"/>
                              <w:tcBorders>
                                <w:top w:val="nil"/>
                                <w:left w:val="single" w:color="auto" w:sz="4" w:space="0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与水分层、密度比水小</w:t>
                              </w:r>
                            </w:p>
                          </w:tc>
                          <w:tc>
                            <w:tcPr>
                              <w:tcW w:w="3711" w:type="dxa"/>
                              <w:tcBorders>
                                <w:top w:val="nil"/>
                                <w:left w:val="nil"/>
                                <w:bottom w:val="single" w:color="auto" w:sz="4" w:space="0"/>
                                <w:right w:val="single" w:color="auto" w:sz="4" w:space="0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>
                              <w:pPr>
                                <w:widowControl/>
                                <w:jc w:val="left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 w:val="22"/>
                                  <w:szCs w:val="22"/>
                                </w:rPr>
                                <w:t>　</w:t>
                              </w:r>
                            </w:p>
                          </w:tc>
                        </w:tr>
                      </w:tbl>
                      <w:p/>
                    </w:txbxContent>
                  </v:textbox>
                  <w10:wrap type="square"/>
                </v:shape>
              </w:pict>
            </w:r>
          </w:p>
          <w:p>
            <w:pPr>
              <w:pStyle w:val="5"/>
              <w:spacing w:before="0" w:beforeAutospacing="0" w:after="0" w:afterAutospacing="0" w:line="288" w:lineRule="auto"/>
              <w:textAlignment w:val="baseline"/>
              <w:rPr>
                <w:rFonts w:cs="+mn-cs" w:asciiTheme="minorEastAsia" w:hAnsiTheme="minorEastAsia"/>
                <w:kern w:val="24"/>
                <w:sz w:val="21"/>
                <w:szCs w:val="21"/>
              </w:rPr>
            </w:pPr>
          </w:p>
          <w:p>
            <w:pPr>
              <w:spacing w:line="360" w:lineRule="auto"/>
              <w:rPr>
                <w:rFonts w:cs="+mn-cs" w:asciiTheme="minorEastAsia" w:hAnsiTheme="minorEastAsia"/>
                <w:kern w:val="24"/>
                <w:szCs w:val="21"/>
              </w:rPr>
            </w:pPr>
          </w:p>
          <w:p>
            <w:pPr>
              <w:spacing w:line="360" w:lineRule="auto"/>
              <w:rPr>
                <w:rFonts w:cs="+mn-cs" w:asciiTheme="minorEastAsia" w:hAnsiTheme="minorEastAsia"/>
                <w:b/>
                <w:bCs/>
                <w:kern w:val="24"/>
                <w:szCs w:val="21"/>
              </w:rPr>
            </w:pPr>
          </w:p>
          <w:p>
            <w:pPr>
              <w:spacing w:line="360" w:lineRule="auto"/>
              <w:rPr>
                <w:rFonts w:cs="+mn-cs" w:asciiTheme="minorEastAsia" w:hAnsiTheme="minorEastAsia"/>
                <w:b/>
                <w:bCs/>
                <w:kern w:val="24"/>
                <w:szCs w:val="21"/>
              </w:rPr>
            </w:pPr>
          </w:p>
          <w:p>
            <w:pPr>
              <w:spacing w:line="360" w:lineRule="auto"/>
              <w:rPr>
                <w:rFonts w:cs="+mn-cs" w:asciiTheme="minorEastAsia" w:hAnsiTheme="minorEastAsia"/>
                <w:b/>
                <w:bCs/>
                <w:kern w:val="24"/>
                <w:szCs w:val="21"/>
              </w:rPr>
            </w:pPr>
          </w:p>
          <w:p>
            <w:pPr>
              <w:spacing w:line="360" w:lineRule="auto"/>
              <w:rPr>
                <w:rFonts w:cs="+mn-cs" w:asciiTheme="minorEastAsia" w:hAnsiTheme="minorEastAsia"/>
                <w:b/>
                <w:bCs/>
                <w:kern w:val="24"/>
                <w:szCs w:val="21"/>
              </w:rPr>
            </w:pPr>
            <w:r>
              <w:pict>
                <v:shape id="_x0000_s1027" o:spid="_x0000_s1027" o:spt="202" type="#_x0000_t202" style="position:absolute;left:0pt;margin-left:-334.3pt;margin-top:35.8pt;height:140.8pt;width:391.45pt;mso-wrap-distance-bottom:3.6pt;mso-wrap-distance-left:9pt;mso-wrap-distance-right:9pt;mso-wrap-distance-top:3.6pt;z-index:251661312;mso-width-relative:margin;mso-height-relative:margin;" stroked="f" coordsize="21600,21600">
                  <v:path/>
                  <v:fill focussize="0,0"/>
                  <v:stroke on="f" joinstyle="miter"/>
                  <v:imagedata o:title=""/>
                  <o:lock v:ext="edit"/>
                  <v:textbox>
                    <w:txbxContent>
                      <w:tbl>
                        <w:tblPr>
                          <w:tblStyle w:val="6"/>
                          <w:tblW w:w="7680" w:type="dxa"/>
                          <w:tblInd w:w="0" w:type="dxa"/>
                          <w:tblLayout w:type="autofit"/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>
                        <w:tblGrid>
                          <w:gridCol w:w="1920"/>
                          <w:gridCol w:w="1920"/>
                          <w:gridCol w:w="1920"/>
                          <w:gridCol w:w="1920"/>
                        </w:tblGrid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1920" w:type="dxa"/>
                              <w:tcBorders>
                                <w:top w:val="single" w:color="000000" w:sz="8" w:space="0"/>
                                <w:left w:val="single" w:color="000000" w:sz="8" w:space="0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物质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single" w:color="000000" w:sz="8" w:space="0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杂质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single" w:color="000000" w:sz="8" w:space="0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试剂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single" w:color="000000" w:sz="8" w:space="0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分离方法（操作）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1920" w:type="dxa"/>
                              <w:tcBorders>
                                <w:top w:val="nil"/>
                                <w:left w:val="single" w:color="000000" w:sz="8" w:space="0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甲烷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乙烯或乙炔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1920" w:type="dxa"/>
                              <w:tcBorders>
                                <w:top w:val="nil"/>
                                <w:left w:val="single" w:color="000000" w:sz="8" w:space="0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溴苯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溴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1920" w:type="dxa"/>
                              <w:tcBorders>
                                <w:top w:val="nil"/>
                                <w:left w:val="single" w:color="000000" w:sz="8" w:space="0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苯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苯酚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1920" w:type="dxa"/>
                              <w:tcBorders>
                                <w:top w:val="nil"/>
                                <w:left w:val="single" w:color="000000" w:sz="8" w:space="0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溴乙烷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乙醇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</w:tr>
                        <w:tr>
                          <w:tblPrEx>
                            <w:tblCell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blCellMar>
                          </w:tblPrEx>
                          <w:trPr>
                            <w:trHeight w:val="420" w:hRule="atLeast"/>
                          </w:trPr>
                          <w:tc>
                            <w:tcPr>
                              <w:tcW w:w="1920" w:type="dxa"/>
                              <w:tcBorders>
                                <w:top w:val="nil"/>
                                <w:left w:val="single" w:color="000000" w:sz="8" w:space="0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乙醇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乙酸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  <w:tc>
                            <w:tcPr>
                              <w:tcW w:w="1920" w:type="dxa"/>
                              <w:tcBorders>
                                <w:top w:val="nil"/>
                                <w:left w:val="nil"/>
                                <w:bottom w:val="single" w:color="000000" w:sz="8" w:space="0"/>
                                <w:right w:val="single" w:color="000000" w:sz="8" w:space="0"/>
                              </w:tcBorders>
                              <w:shd w:val="clear" w:color="auto" w:fill="auto"/>
                              <w:vAlign w:val="center"/>
                            </w:tcPr>
                            <w:p>
                              <w:pPr>
                                <w:widowControl/>
                                <w:jc w:val="center"/>
                                <w:rPr>
                                  <w:rFonts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color w:val="000000"/>
                                  <w:kern w:val="0"/>
                                  <w:szCs w:val="21"/>
                                </w:rPr>
                                <w:t>　</w:t>
                              </w:r>
                            </w:p>
                          </w:tc>
                        </w:tr>
                      </w:tbl>
                      <w:p/>
                    </w:txbxContent>
                  </v:textbox>
                  <w10:wrap type="square"/>
                </v:shape>
              </w:pict>
            </w:r>
          </w:p>
        </w:tc>
      </w:tr>
    </w:tbl>
    <w:p>
      <w:pPr>
        <w:rPr>
          <w:rFonts w:asciiTheme="minorEastAsia" w:hAnsiTheme="minorEastAsia" w:cstheme="minor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+mn-cs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A653CB1"/>
    <w:rsid w:val="000157AC"/>
    <w:rsid w:val="000231BB"/>
    <w:rsid w:val="000515CA"/>
    <w:rsid w:val="000673E8"/>
    <w:rsid w:val="000F42C0"/>
    <w:rsid w:val="00171DB6"/>
    <w:rsid w:val="0017335A"/>
    <w:rsid w:val="001A43B8"/>
    <w:rsid w:val="001B60D3"/>
    <w:rsid w:val="001E25FC"/>
    <w:rsid w:val="002347CE"/>
    <w:rsid w:val="00236300"/>
    <w:rsid w:val="002462DA"/>
    <w:rsid w:val="003760F1"/>
    <w:rsid w:val="003761CB"/>
    <w:rsid w:val="003964CA"/>
    <w:rsid w:val="003E1CE5"/>
    <w:rsid w:val="004A3C0A"/>
    <w:rsid w:val="004D6C5B"/>
    <w:rsid w:val="004E54BA"/>
    <w:rsid w:val="00504F37"/>
    <w:rsid w:val="00507BEF"/>
    <w:rsid w:val="0052787B"/>
    <w:rsid w:val="00544687"/>
    <w:rsid w:val="00566BCF"/>
    <w:rsid w:val="005963B4"/>
    <w:rsid w:val="00605D9E"/>
    <w:rsid w:val="006D102B"/>
    <w:rsid w:val="00753AD1"/>
    <w:rsid w:val="00784B8D"/>
    <w:rsid w:val="00791B02"/>
    <w:rsid w:val="007B2068"/>
    <w:rsid w:val="007C4428"/>
    <w:rsid w:val="007E580D"/>
    <w:rsid w:val="008023DB"/>
    <w:rsid w:val="00826161"/>
    <w:rsid w:val="009042C1"/>
    <w:rsid w:val="00993834"/>
    <w:rsid w:val="009C14E2"/>
    <w:rsid w:val="009E2A1D"/>
    <w:rsid w:val="009F6DED"/>
    <w:rsid w:val="00A73C48"/>
    <w:rsid w:val="00A96871"/>
    <w:rsid w:val="00AD63BE"/>
    <w:rsid w:val="00AF129B"/>
    <w:rsid w:val="00B0698D"/>
    <w:rsid w:val="00B203B9"/>
    <w:rsid w:val="00BD2ADF"/>
    <w:rsid w:val="00C25329"/>
    <w:rsid w:val="00CB0B6B"/>
    <w:rsid w:val="00CD58E7"/>
    <w:rsid w:val="00CF06BD"/>
    <w:rsid w:val="00D128BC"/>
    <w:rsid w:val="00DC2535"/>
    <w:rsid w:val="00E7393D"/>
    <w:rsid w:val="00EA2CEC"/>
    <w:rsid w:val="00EC1B26"/>
    <w:rsid w:val="00EC2919"/>
    <w:rsid w:val="00F655A6"/>
    <w:rsid w:val="00FC04BF"/>
    <w:rsid w:val="00FD4D1F"/>
    <w:rsid w:val="369D3CDF"/>
    <w:rsid w:val="5D314AA8"/>
    <w:rsid w:val="6E6D2F24"/>
    <w:rsid w:val="7A653CB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3"/>
    <w:qFormat/>
    <w:uiPriority w:val="0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2">
    <w:name w:val="批注框文本 Char"/>
    <w:basedOn w:val="8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65</Words>
  <Characters>376</Characters>
  <Lines>3</Lines>
  <Paragraphs>1</Paragraphs>
  <TotalTime>1</TotalTime>
  <ScaleCrop>false</ScaleCrop>
  <LinksUpToDate>false</LinksUpToDate>
  <CharactersWithSpaces>440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2020-02-06T13:33:00Z</dcterms:created>
  <dc:creator>Administrator</dc:creator>
  <cp:lastModifiedBy>苏秋云</cp:lastModifiedBy>
  <dcterms:modified xsi:type="dcterms:W3CDTF">2020-02-10T05:49:08Z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