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inorEastAsia" w:hAnsiTheme="minorEastAsia"/>
          <w:b/>
          <w:sz w:val="28"/>
          <w:szCs w:val="28"/>
          <w:lang w:eastAsia="zh-CN"/>
        </w:rPr>
      </w:pPr>
      <w:r>
        <w:rPr>
          <w:rFonts w:hint="eastAsia" w:asciiTheme="minorEastAsia" w:hAnsiTheme="minorEastAsia"/>
          <w:b/>
          <w:sz w:val="28"/>
          <w:szCs w:val="28"/>
        </w:rPr>
        <w:t>小学语文学科名著阅读</w:t>
      </w:r>
      <w:r>
        <w:rPr>
          <w:rFonts w:hint="eastAsia" w:asciiTheme="minorEastAsia" w:hAnsiTheme="minorEastAsia"/>
          <w:b/>
          <w:sz w:val="28"/>
          <w:szCs w:val="28"/>
          <w:lang w:val="en-US" w:eastAsia="zh-CN"/>
        </w:rPr>
        <w:t>指导课程（</w:t>
      </w:r>
      <w:r>
        <w:rPr>
          <w:rFonts w:hint="eastAsia" w:asciiTheme="minorEastAsia" w:hAnsiTheme="minorEastAsia"/>
          <w:b/>
          <w:sz w:val="28"/>
          <w:szCs w:val="28"/>
        </w:rPr>
        <w:t>六年级</w:t>
      </w:r>
      <w:r>
        <w:rPr>
          <w:rFonts w:hint="eastAsia" w:asciiTheme="minorEastAsia" w:hAnsiTheme="minorEastAsia"/>
          <w:b/>
          <w:sz w:val="28"/>
          <w:szCs w:val="28"/>
          <w:lang w:eastAsia="zh-CN"/>
        </w:rPr>
        <w:t>）</w:t>
      </w:r>
    </w:p>
    <w:p>
      <w:pPr>
        <w:spacing w:line="440" w:lineRule="exact"/>
        <w:jc w:val="center"/>
        <w:rPr>
          <w:rFonts w:hint="eastAsia" w:asciiTheme="minorEastAsia" w:hAnsiTheme="minorEastAsia"/>
          <w:b/>
          <w:sz w:val="28"/>
          <w:szCs w:val="28"/>
          <w:lang w:eastAsia="zh-CN"/>
        </w:rPr>
      </w:pPr>
    </w:p>
    <w:p>
      <w:pPr>
        <w:adjustRightInd w:val="0"/>
        <w:snapToGrid w:val="0"/>
        <w:spacing w:line="360" w:lineRule="auto"/>
        <w:jc w:val="center"/>
        <w:rPr>
          <w:b/>
          <w:sz w:val="28"/>
          <w:szCs w:val="28"/>
        </w:rPr>
      </w:pPr>
      <w:r>
        <w:rPr>
          <w:rFonts w:hint="eastAsia"/>
          <w:b/>
          <w:sz w:val="28"/>
          <w:szCs w:val="28"/>
          <w:lang w:val="en-US" w:eastAsia="zh-CN"/>
        </w:rPr>
        <w:t>第九课时</w:t>
      </w:r>
      <w:r>
        <w:rPr>
          <w:rFonts w:hint="eastAsia"/>
          <w:b/>
          <w:sz w:val="28"/>
          <w:szCs w:val="28"/>
        </w:rPr>
        <w:t>《书戴嵩画牛》与题跋</w:t>
      </w:r>
    </w:p>
    <w:p>
      <w:pPr>
        <w:adjustRightInd w:val="0"/>
        <w:snapToGrid w:val="0"/>
        <w:spacing w:line="360" w:lineRule="auto"/>
        <w:jc w:val="center"/>
        <w:rPr>
          <w:b/>
          <w:sz w:val="24"/>
        </w:rPr>
      </w:pPr>
    </w:p>
    <w:p>
      <w:pPr>
        <w:adjustRightInd w:val="0"/>
        <w:snapToGrid w:val="0"/>
        <w:spacing w:line="360" w:lineRule="auto"/>
        <w:jc w:val="left"/>
        <w:outlineLvl w:val="0"/>
        <w:rPr>
          <w:rFonts w:asciiTheme="minorEastAsia" w:hAnsiTheme="minorEastAsia"/>
          <w:b/>
          <w:sz w:val="28"/>
          <w:szCs w:val="22"/>
        </w:rPr>
      </w:pPr>
      <w:r>
        <w:rPr>
          <w:rFonts w:hint="eastAsia" w:asciiTheme="minorEastAsia" w:hAnsiTheme="minorEastAsia"/>
          <w:b/>
          <w:sz w:val="28"/>
          <w:szCs w:val="22"/>
        </w:rPr>
        <w:t>学习</w:t>
      </w:r>
      <w:r>
        <w:rPr>
          <w:rFonts w:hint="eastAsia" w:asciiTheme="minorEastAsia" w:hAnsiTheme="minorEastAsia"/>
          <w:b/>
          <w:sz w:val="28"/>
          <w:szCs w:val="22"/>
          <w:lang w:val="en-US" w:eastAsia="zh-CN"/>
        </w:rPr>
        <w:t>任务</w:t>
      </w:r>
      <w:r>
        <w:rPr>
          <w:rFonts w:hint="eastAsia" w:asciiTheme="minorEastAsia" w:hAnsiTheme="minorEastAsia"/>
          <w:b/>
          <w:sz w:val="28"/>
          <w:szCs w:val="22"/>
        </w:rPr>
        <w:t>：</w:t>
      </w:r>
      <w:bookmarkStart w:id="0" w:name="_GoBack"/>
      <w:bookmarkEnd w:id="0"/>
    </w:p>
    <w:p>
      <w:pPr>
        <w:pStyle w:val="14"/>
        <w:adjustRightInd w:val="0"/>
        <w:snapToGrid w:val="0"/>
        <w:spacing w:line="360" w:lineRule="auto"/>
        <w:ind w:firstLine="0" w:firstLineChars="0"/>
        <w:rPr>
          <w:rFonts w:ascii="楷体" w:hAnsi="楷体" w:eastAsia="楷体"/>
          <w:bCs/>
          <w:sz w:val="24"/>
        </w:rPr>
      </w:pPr>
      <w:r>
        <w:rPr>
          <w:rFonts w:hint="eastAsia" w:asciiTheme="minorEastAsia" w:hAnsiTheme="minorEastAsia" w:eastAsiaTheme="minorEastAsia"/>
          <w:bCs/>
          <w:sz w:val="24"/>
        </w:rPr>
        <w:t xml:space="preserve">   </w:t>
      </w:r>
      <w:r>
        <w:rPr>
          <w:rFonts w:hint="eastAsia" w:ascii="楷体" w:hAnsi="楷体" w:eastAsia="楷体"/>
          <w:bCs/>
          <w:sz w:val="24"/>
        </w:rPr>
        <w:t xml:space="preserve"> 1.请打开语文书第99页，用你喜欢的方式朗读课文。</w:t>
      </w:r>
    </w:p>
    <w:p>
      <w:pPr>
        <w:pStyle w:val="14"/>
        <w:adjustRightInd w:val="0"/>
        <w:snapToGrid w:val="0"/>
        <w:spacing w:line="360" w:lineRule="auto"/>
        <w:ind w:firstLine="0" w:firstLineChars="0"/>
        <w:rPr>
          <w:rFonts w:ascii="楷体" w:hAnsi="楷体" w:eastAsia="楷体"/>
          <w:bCs/>
          <w:sz w:val="24"/>
        </w:rPr>
      </w:pPr>
      <w:r>
        <w:rPr>
          <w:rFonts w:hint="eastAsia" w:ascii="楷体" w:hAnsi="楷体" w:eastAsia="楷体"/>
          <w:bCs/>
          <w:sz w:val="24"/>
        </w:rPr>
        <w:t xml:space="preserve">    2.依据书上的注释和课后的习题，回忆一下课堂上老师所讲的内容</w:t>
      </w:r>
      <w:r>
        <w:rPr>
          <w:rFonts w:ascii="楷体" w:hAnsi="楷体" w:eastAsia="楷体"/>
          <w:bCs/>
          <w:sz w:val="24"/>
        </w:rPr>
        <w:t>和方法</w:t>
      </w:r>
      <w:r>
        <w:rPr>
          <w:rFonts w:hint="eastAsia" w:ascii="楷体" w:hAnsi="楷体" w:eastAsia="楷体"/>
          <w:bCs/>
          <w:sz w:val="24"/>
        </w:rPr>
        <w:t>。</w:t>
      </w:r>
    </w:p>
    <w:p>
      <w:pPr>
        <w:pStyle w:val="14"/>
        <w:adjustRightInd w:val="0"/>
        <w:snapToGrid w:val="0"/>
        <w:spacing w:line="360" w:lineRule="auto"/>
        <w:ind w:firstLine="0" w:firstLineChars="0"/>
        <w:rPr>
          <w:rFonts w:ascii="楷体" w:hAnsi="楷体" w:eastAsia="楷体"/>
          <w:sz w:val="24"/>
        </w:rPr>
      </w:pPr>
      <w:r>
        <w:rPr>
          <w:rFonts w:hint="eastAsia" w:ascii="楷体" w:hAnsi="楷体" w:eastAsia="楷体"/>
          <w:bCs/>
          <w:sz w:val="24"/>
        </w:rPr>
        <w:t xml:space="preserve">    3.看微视频，</w:t>
      </w:r>
      <w:r>
        <w:rPr>
          <w:rFonts w:hint="eastAsia" w:ascii="楷体" w:hAnsi="楷体" w:eastAsia="楷体"/>
          <w:sz w:val="24"/>
        </w:rPr>
        <w:t>借助阅读链接对于古文有更深入的了解，知道题跋这种艺术形式，领略中国传统书画文化的魅力，激发民族认同和自豪感。</w:t>
      </w:r>
    </w:p>
    <w:p>
      <w:pPr>
        <w:adjustRightInd w:val="0"/>
        <w:snapToGrid w:val="0"/>
        <w:spacing w:line="360" w:lineRule="auto"/>
        <w:rPr>
          <w:rFonts w:asciiTheme="minorEastAsia" w:hAnsiTheme="minorEastAsia"/>
          <w:b/>
          <w:sz w:val="28"/>
          <w:szCs w:val="22"/>
        </w:rPr>
      </w:pPr>
      <w:r>
        <w:rPr>
          <w:rFonts w:hint="eastAsia" w:asciiTheme="minorEastAsia" w:hAnsiTheme="minorEastAsia"/>
          <w:b/>
          <w:sz w:val="28"/>
          <w:szCs w:val="22"/>
        </w:rPr>
        <w:t>知识要点：</w:t>
      </w:r>
    </w:p>
    <w:p>
      <w:pPr>
        <w:pStyle w:val="10"/>
        <w:adjustRightInd w:val="0"/>
        <w:snapToGrid w:val="0"/>
        <w:spacing w:line="360" w:lineRule="auto"/>
        <w:ind w:left="360" w:firstLine="0" w:firstLineChars="0"/>
        <w:jc w:val="left"/>
        <w:rPr>
          <w:rFonts w:ascii="楷体" w:hAnsi="楷体" w:eastAsia="楷体"/>
          <w:sz w:val="24"/>
        </w:rPr>
      </w:pPr>
      <w:r>
        <w:rPr>
          <w:rFonts w:hint="eastAsia" w:asciiTheme="minorEastAsia" w:hAnsiTheme="minorEastAsia"/>
          <w:sz w:val="24"/>
        </w:rPr>
        <w:t xml:space="preserve"> </w:t>
      </w:r>
      <w:r>
        <w:rPr>
          <w:rFonts w:hint="eastAsia" w:ascii="楷体" w:hAnsi="楷体" w:eastAsia="楷体"/>
          <w:sz w:val="24"/>
        </w:rPr>
        <w:t xml:space="preserve"> 1.能用自己的话讲《书戴嵩画牛》的故事。</w:t>
      </w:r>
    </w:p>
    <w:p>
      <w:pPr>
        <w:pStyle w:val="10"/>
        <w:adjustRightInd w:val="0"/>
        <w:snapToGrid w:val="0"/>
        <w:spacing w:line="360" w:lineRule="auto"/>
        <w:ind w:left="360" w:firstLine="0" w:firstLineChars="0"/>
        <w:jc w:val="left"/>
        <w:rPr>
          <w:rFonts w:ascii="楷体" w:hAnsi="楷体" w:eastAsia="楷体"/>
          <w:sz w:val="24"/>
        </w:rPr>
      </w:pPr>
      <w:r>
        <w:rPr>
          <w:rFonts w:hint="eastAsia" w:ascii="楷体" w:hAnsi="楷体" w:eastAsia="楷体"/>
          <w:sz w:val="24"/>
        </w:rPr>
        <w:t xml:space="preserve">  2.理解故事最后所揭示的道理。</w:t>
      </w:r>
    </w:p>
    <w:p>
      <w:pPr>
        <w:pStyle w:val="14"/>
        <w:adjustRightInd w:val="0"/>
        <w:snapToGrid w:val="0"/>
        <w:spacing w:line="360" w:lineRule="auto"/>
        <w:ind w:firstLine="0" w:firstLineChars="0"/>
        <w:rPr>
          <w:rFonts w:ascii="楷体" w:hAnsi="楷体" w:eastAsia="楷体"/>
          <w:sz w:val="24"/>
        </w:rPr>
      </w:pPr>
      <w:r>
        <w:rPr>
          <w:rFonts w:hint="eastAsia" w:ascii="楷体" w:hAnsi="楷体" w:eastAsia="楷体"/>
          <w:sz w:val="24"/>
        </w:rPr>
        <w:t xml:space="preserve">     3.知道题跋这种艺术形式，领略中国传统书画文化的魅力，激发民族认同和自豪感。</w:t>
      </w:r>
    </w:p>
    <w:p>
      <w:pPr>
        <w:adjustRightInd w:val="0"/>
        <w:snapToGrid w:val="0"/>
        <w:spacing w:line="360" w:lineRule="auto"/>
        <w:jc w:val="left"/>
        <w:rPr>
          <w:rFonts w:asciiTheme="minorEastAsia" w:hAnsiTheme="minorEastAsia"/>
          <w:b/>
          <w:sz w:val="28"/>
          <w:szCs w:val="22"/>
        </w:rPr>
      </w:pPr>
      <w:r>
        <w:rPr>
          <w:rFonts w:hint="eastAsia" w:asciiTheme="minorEastAsia" w:hAnsiTheme="minorEastAsia"/>
          <w:b/>
          <w:sz w:val="28"/>
          <w:szCs w:val="22"/>
        </w:rPr>
        <w:t>相关内容链接：</w:t>
      </w:r>
    </w:p>
    <w:p>
      <w:pPr>
        <w:spacing w:line="360" w:lineRule="auto"/>
        <w:rPr>
          <w:rFonts w:hint="eastAsia" w:cs="楷体" w:asciiTheme="minorEastAsia" w:hAnsiTheme="minorEastAsia"/>
          <w:b/>
          <w:sz w:val="24"/>
          <w:szCs w:val="24"/>
        </w:rPr>
      </w:pPr>
      <w:r>
        <w:rPr>
          <w:rFonts w:hint="eastAsia" w:cs="楷体" w:asciiTheme="minorEastAsia" w:hAnsiTheme="minorEastAsia"/>
          <w:b/>
          <w:sz w:val="24"/>
          <w:szCs w:val="24"/>
        </w:rPr>
        <w:t>品读《书戴嵩画牛》</w:t>
      </w:r>
    </w:p>
    <w:p>
      <w:pPr>
        <w:spacing w:line="360" w:lineRule="auto"/>
        <w:rPr>
          <w:rFonts w:cs="楷体" w:asciiTheme="minorEastAsia" w:hAnsiTheme="minorEastAsia"/>
          <w:sz w:val="24"/>
        </w:rPr>
      </w:pPr>
      <w:r>
        <w:rPr>
          <w:rFonts w:hint="eastAsia" w:cs="楷体" w:asciiTheme="minorEastAsia" w:hAnsiTheme="minorEastAsia"/>
          <w:sz w:val="24"/>
        </w:rPr>
        <w:t>【阅读链接】</w:t>
      </w:r>
    </w:p>
    <w:p>
      <w:pPr>
        <w:pStyle w:val="10"/>
        <w:spacing w:line="360" w:lineRule="auto"/>
        <w:ind w:firstLine="307" w:firstLineChars="128"/>
        <w:rPr>
          <w:rFonts w:cs="楷体" w:asciiTheme="minorEastAsia" w:hAnsiTheme="minorEastAsia"/>
          <w:sz w:val="24"/>
        </w:rPr>
      </w:pPr>
      <w:r>
        <w:rPr>
          <w:rFonts w:hint="eastAsia" w:cs="楷体" w:asciiTheme="minorEastAsia" w:hAnsiTheme="minorEastAsia"/>
          <w:sz w:val="24"/>
        </w:rPr>
        <w:t xml:space="preserve">  中国苏轼研究学会常务理事朱靖华：苏轼在《戴嵩画牛》中，批评戴嵩画牛图的失真，是由于画家“观物不审”的结果。一个艺术家，即使像戴嵩这样有修养的画牛大家，如果对某个生活细节观察得不够准确，也会形成笑柄，甚至竟被一个牧童所耻笑。苏轼引述古语“耕当问奴，织当问婢”的话，即主张向有实践经验的劳动人民学习，这表现了他进步的艺术观。（《苏东坡寓言评注》）</w:t>
      </w:r>
    </w:p>
    <w:p>
      <w:pPr>
        <w:adjustRightInd w:val="0"/>
        <w:snapToGrid w:val="0"/>
        <w:spacing w:line="360" w:lineRule="auto"/>
        <w:jc w:val="left"/>
        <w:rPr>
          <w:rFonts w:cs="楷体" w:asciiTheme="minorEastAsia" w:hAnsiTheme="minorEastAsia"/>
          <w:sz w:val="24"/>
        </w:rPr>
      </w:pPr>
      <w:r>
        <w:rPr>
          <w:rFonts w:hint="eastAsia" w:cs="楷体" w:asciiTheme="minorEastAsia" w:hAnsiTheme="minorEastAsia"/>
          <w:sz w:val="24"/>
        </w:rPr>
        <w:t xml:space="preserve">    上海古籍出版社社长高克勤：本文通过记叙一位牧童指出著名画家戴嵩画牛失误一事，生动地说明在生活中的某一方面最有发言权的人是最富实践经验的人，提倡不耻下问的作风。文章不足百字，先写杜处士对所藏戴嵩《牛》画的喜爱，接着写牧童对此画失误的批评，最后引用两句古语作结，点出写作的主旨。全文有叙有议，描写生动，要言不烦，点到即止。</w:t>
      </w:r>
    </w:p>
    <w:p>
      <w:pPr>
        <w:adjustRightInd w:val="0"/>
        <w:snapToGrid w:val="0"/>
        <w:spacing w:line="360" w:lineRule="auto"/>
        <w:jc w:val="left"/>
        <w:rPr>
          <w:rFonts w:cs="楷体" w:asciiTheme="minorEastAsia" w:hAnsiTheme="minorEastAsia"/>
          <w:b/>
          <w:sz w:val="24"/>
        </w:rPr>
      </w:pPr>
      <w:r>
        <w:rPr>
          <w:rFonts w:hint="eastAsia" w:cs="楷体" w:asciiTheme="minorEastAsia" w:hAnsiTheme="minorEastAsia"/>
          <w:sz w:val="24"/>
        </w:rPr>
        <w:t>（《北宋散文》）</w:t>
      </w:r>
    </w:p>
    <w:p>
      <w:pPr>
        <w:spacing w:line="360" w:lineRule="auto"/>
        <w:rPr>
          <w:rFonts w:cs="楷体" w:asciiTheme="minorEastAsia" w:hAnsiTheme="minorEastAsia"/>
          <w:b/>
          <w:sz w:val="24"/>
          <w:szCs w:val="24"/>
        </w:rPr>
      </w:pPr>
      <w:r>
        <w:rPr>
          <w:rFonts w:hint="eastAsia" w:cs="楷体" w:asciiTheme="minorEastAsia" w:hAnsiTheme="minorEastAsia"/>
          <w:b/>
          <w:sz w:val="24"/>
          <w:szCs w:val="24"/>
        </w:rPr>
        <w:t>认识题跋</w:t>
      </w:r>
    </w:p>
    <w:p>
      <w:pPr>
        <w:spacing w:line="360" w:lineRule="auto"/>
        <w:rPr>
          <w:rFonts w:hint="eastAsia" w:cs="楷体" w:asciiTheme="minorEastAsia" w:hAnsiTheme="minorEastAsia"/>
          <w:sz w:val="24"/>
        </w:rPr>
      </w:pPr>
      <w:r>
        <w:rPr>
          <w:rFonts w:hint="eastAsia" w:cs="楷体" w:asciiTheme="minorEastAsia" w:hAnsiTheme="minorEastAsia"/>
          <w:sz w:val="24"/>
        </w:rPr>
        <w:t>【阅读链接】</w:t>
      </w:r>
    </w:p>
    <w:p>
      <w:pPr>
        <w:spacing w:line="360" w:lineRule="auto"/>
        <w:ind w:firstLine="480" w:firstLineChars="200"/>
        <w:jc w:val="left"/>
        <w:rPr>
          <w:rFonts w:asciiTheme="minorEastAsia" w:hAnsiTheme="minorEastAsia"/>
          <w:sz w:val="24"/>
        </w:rPr>
      </w:pPr>
      <w:r>
        <w:rPr>
          <w:rFonts w:hint="eastAsia" w:cs="楷体" w:asciiTheme="minorEastAsia" w:hAnsiTheme="minorEastAsia"/>
          <w:sz w:val="24"/>
        </w:rPr>
        <w:t xml:space="preserve"> 写在书籍、碑帖、字画等前面的文字叫做题，写在后面的叫做跋，总称题跋。内容多为品评、鉴赏、考订、记事等。书画的题跋是作品的一部分，其内容与形式及位置要与作品密切配合。书、画，题跋、印章之间相互联系，互相增益，使之成为统一的整体。</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50"/>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0AA631F"/>
    <w:rsid w:val="00084256"/>
    <w:rsid w:val="001201FA"/>
    <w:rsid w:val="00124F22"/>
    <w:rsid w:val="001352DD"/>
    <w:rsid w:val="00143ABF"/>
    <w:rsid w:val="001A5B26"/>
    <w:rsid w:val="0020428D"/>
    <w:rsid w:val="0027718C"/>
    <w:rsid w:val="00290B59"/>
    <w:rsid w:val="00293A81"/>
    <w:rsid w:val="00302AFE"/>
    <w:rsid w:val="00306905"/>
    <w:rsid w:val="00315AEE"/>
    <w:rsid w:val="003526FA"/>
    <w:rsid w:val="00377591"/>
    <w:rsid w:val="003C3509"/>
    <w:rsid w:val="003C4034"/>
    <w:rsid w:val="00434D94"/>
    <w:rsid w:val="004B3744"/>
    <w:rsid w:val="004C5E3E"/>
    <w:rsid w:val="004E174B"/>
    <w:rsid w:val="004F4F7C"/>
    <w:rsid w:val="004F51DB"/>
    <w:rsid w:val="005A4534"/>
    <w:rsid w:val="005E15FE"/>
    <w:rsid w:val="00605F83"/>
    <w:rsid w:val="00617980"/>
    <w:rsid w:val="00641775"/>
    <w:rsid w:val="00656AD2"/>
    <w:rsid w:val="00680F13"/>
    <w:rsid w:val="006A7593"/>
    <w:rsid w:val="00723800"/>
    <w:rsid w:val="00747335"/>
    <w:rsid w:val="007830AD"/>
    <w:rsid w:val="007975B4"/>
    <w:rsid w:val="007B0806"/>
    <w:rsid w:val="007D7A33"/>
    <w:rsid w:val="007E29C4"/>
    <w:rsid w:val="008004A8"/>
    <w:rsid w:val="008064CF"/>
    <w:rsid w:val="008A1E76"/>
    <w:rsid w:val="008A222E"/>
    <w:rsid w:val="008C29F7"/>
    <w:rsid w:val="009623E1"/>
    <w:rsid w:val="009A0C42"/>
    <w:rsid w:val="009A140C"/>
    <w:rsid w:val="009C5742"/>
    <w:rsid w:val="00AD2624"/>
    <w:rsid w:val="00B86682"/>
    <w:rsid w:val="00B953ED"/>
    <w:rsid w:val="00BA0141"/>
    <w:rsid w:val="00BC1EB8"/>
    <w:rsid w:val="00BE162B"/>
    <w:rsid w:val="00C770BE"/>
    <w:rsid w:val="00CD45F3"/>
    <w:rsid w:val="00D03040"/>
    <w:rsid w:val="00DC05B2"/>
    <w:rsid w:val="00DC1080"/>
    <w:rsid w:val="00E37C69"/>
    <w:rsid w:val="00E73BE8"/>
    <w:rsid w:val="00E804DD"/>
    <w:rsid w:val="00EC3F65"/>
    <w:rsid w:val="00F150AC"/>
    <w:rsid w:val="00F20392"/>
    <w:rsid w:val="00F3365C"/>
    <w:rsid w:val="00F5479E"/>
    <w:rsid w:val="00FB6348"/>
    <w:rsid w:val="00FE4318"/>
    <w:rsid w:val="035E2C8E"/>
    <w:rsid w:val="20AA631F"/>
    <w:rsid w:val="25613546"/>
    <w:rsid w:val="2D6E1322"/>
    <w:rsid w:val="3B8D2C15"/>
    <w:rsid w:val="3D53370F"/>
    <w:rsid w:val="4F8B6540"/>
    <w:rsid w:val="53DD56CD"/>
    <w:rsid w:val="54E11394"/>
    <w:rsid w:val="58380144"/>
    <w:rsid w:val="5FFC6E5D"/>
    <w:rsid w:val="6D892AF1"/>
    <w:rsid w:val="6F8370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styleId="9">
    <w:name w:val="Hyperlink"/>
    <w:basedOn w:val="7"/>
    <w:uiPriority w:val="0"/>
    <w:rPr>
      <w:color w:val="136EC2"/>
      <w:u w:val="single"/>
    </w:rPr>
  </w:style>
  <w:style w:type="paragraph" w:styleId="10">
    <w:name w:val="List Paragraph"/>
    <w:basedOn w:val="1"/>
    <w:unhideWhenUsed/>
    <w:qFormat/>
    <w:uiPriority w:val="99"/>
    <w:pPr>
      <w:ind w:firstLine="420" w:firstLineChars="200"/>
    </w:pPr>
  </w:style>
  <w:style w:type="character" w:customStyle="1" w:styleId="11">
    <w:name w:val="批注框文本字符"/>
    <w:basedOn w:val="7"/>
    <w:link w:val="2"/>
    <w:qFormat/>
    <w:uiPriority w:val="0"/>
    <w:rPr>
      <w:kern w:val="2"/>
      <w:sz w:val="18"/>
      <w:szCs w:val="18"/>
    </w:rPr>
  </w:style>
  <w:style w:type="character" w:customStyle="1" w:styleId="12">
    <w:name w:val="页眉字符"/>
    <w:basedOn w:val="7"/>
    <w:link w:val="4"/>
    <w:qFormat/>
    <w:uiPriority w:val="0"/>
    <w:rPr>
      <w:kern w:val="2"/>
      <w:sz w:val="18"/>
      <w:szCs w:val="18"/>
    </w:rPr>
  </w:style>
  <w:style w:type="character" w:customStyle="1" w:styleId="13">
    <w:name w:val="页脚字符"/>
    <w:basedOn w:val="7"/>
    <w:link w:val="3"/>
    <w:qFormat/>
    <w:uiPriority w:val="0"/>
    <w:rPr>
      <w:kern w:val="2"/>
      <w:sz w:val="18"/>
      <w:szCs w:val="18"/>
    </w:rPr>
  </w:style>
  <w:style w:type="paragraph" w:customStyle="1" w:styleId="14">
    <w:name w:val="列出段落1"/>
    <w:basedOn w:val="1"/>
    <w:qFormat/>
    <w:uiPriority w:val="34"/>
    <w:pPr>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2</Pages>
  <Words>113</Words>
  <Characters>647</Characters>
  <Lines>5</Lines>
  <Paragraphs>1</Paragraphs>
  <TotalTime>5</TotalTime>
  <ScaleCrop>false</ScaleCrop>
  <LinksUpToDate>false</LinksUpToDate>
  <CharactersWithSpaces>759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2020-02-04T03:36:00Z</dcterms:created>
  <dc:creator>马国晖</dc:creator>
  <cp:lastModifiedBy>文菲^^小丸子</cp:lastModifiedBy>
  <dcterms:modified xsi:type="dcterms:W3CDTF">2020-02-08T04:37:01Z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