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335A3" w14:textId="77777777" w:rsidR="009048A2" w:rsidRDefault="003A1D8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章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细胞的物质输入和输出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单元检测</w:t>
      </w:r>
    </w:p>
    <w:p w14:paraId="4D3D66DC" w14:textId="77777777" w:rsidR="009048A2" w:rsidRDefault="003A1D8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tbl>
      <w:tblPr>
        <w:tblStyle w:val="ad"/>
        <w:tblpPr w:leftFromText="180" w:rightFromText="180" w:vertAnchor="text" w:horzAnchor="page" w:tblpXSpec="center" w:tblpY="336"/>
        <w:tblOverlap w:val="never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048A2" w14:paraId="5C87EC36" w14:textId="77777777" w:rsidTr="003A1D8A">
        <w:trPr>
          <w:jc w:val="center"/>
        </w:trPr>
        <w:tc>
          <w:tcPr>
            <w:tcW w:w="1217" w:type="dxa"/>
            <w:vAlign w:val="center"/>
          </w:tcPr>
          <w:p w14:paraId="479FEC0D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14:paraId="5D2F8F4E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14:paraId="04998259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14:paraId="102A5019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18" w:type="dxa"/>
            <w:vAlign w:val="center"/>
          </w:tcPr>
          <w:p w14:paraId="424F98A9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18" w:type="dxa"/>
            <w:vAlign w:val="center"/>
          </w:tcPr>
          <w:p w14:paraId="02A07379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18" w:type="dxa"/>
            <w:vAlign w:val="center"/>
          </w:tcPr>
          <w:p w14:paraId="607AA7E5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9048A2" w14:paraId="3A567CC4" w14:textId="77777777" w:rsidTr="003A1D8A">
        <w:trPr>
          <w:jc w:val="center"/>
        </w:trPr>
        <w:tc>
          <w:tcPr>
            <w:tcW w:w="1217" w:type="dxa"/>
            <w:vAlign w:val="center"/>
          </w:tcPr>
          <w:p w14:paraId="657DB34C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217" w:type="dxa"/>
            <w:vAlign w:val="center"/>
          </w:tcPr>
          <w:p w14:paraId="22546917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217" w:type="dxa"/>
            <w:vAlign w:val="center"/>
          </w:tcPr>
          <w:p w14:paraId="1B506236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217" w:type="dxa"/>
            <w:vAlign w:val="center"/>
          </w:tcPr>
          <w:p w14:paraId="75D476B3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1218" w:type="dxa"/>
            <w:vAlign w:val="center"/>
          </w:tcPr>
          <w:p w14:paraId="72DA9CFF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1218" w:type="dxa"/>
            <w:vAlign w:val="center"/>
          </w:tcPr>
          <w:p w14:paraId="47C5D919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218" w:type="dxa"/>
            <w:vAlign w:val="center"/>
          </w:tcPr>
          <w:p w14:paraId="0C2674AB" w14:textId="77777777" w:rsidR="009048A2" w:rsidRDefault="003A1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</w:tbl>
    <w:p w14:paraId="22FD5155" w14:textId="77777777" w:rsidR="009048A2" w:rsidRDefault="009048A2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</w:p>
    <w:p w14:paraId="6B25F375" w14:textId="77777777" w:rsidR="009048A2" w:rsidRDefault="003A1D8A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6.</w:t>
      </w:r>
    </w:p>
    <w:p w14:paraId="29F9B795" w14:textId="77777777" w:rsidR="009048A2" w:rsidRDefault="003A1D8A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【答案】</w:t>
      </w:r>
      <w:r>
        <w:rPr>
          <w:rFonts w:asciiTheme="minorEastAsia" w:eastAsiaTheme="minorEastAsia" w:hAnsiTheme="minorEastAsia" w:hint="eastAsia"/>
          <w:szCs w:val="21"/>
        </w:rPr>
        <w:t>B</w:t>
      </w:r>
    </w:p>
    <w:p w14:paraId="6C048E24" w14:textId="77777777" w:rsidR="009048A2" w:rsidRDefault="003A1D8A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【解析】据图可知该物质的运输需要消耗能量和载体蛋白的协助，因此为主动运输。甘油、氧气的运输方式为自由扩散，</w:t>
      </w:r>
      <w:r>
        <w:rPr>
          <w:rFonts w:asciiTheme="minorEastAsia" w:eastAsiaTheme="minorEastAsia" w:hAnsiTheme="minorEastAsia" w:hint="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错误；淀粉酶化学本质为蛋白质，因此通过胞吐排出细胞，</w:t>
      </w:r>
      <w:r>
        <w:rPr>
          <w:rFonts w:asciiTheme="minorEastAsia" w:eastAsiaTheme="minorEastAsia" w:hAnsiTheme="minorEastAsia" w:hint="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错误；钙离子的运输方式为主动运输，</w:t>
      </w:r>
      <w:r>
        <w:rPr>
          <w:rFonts w:asciiTheme="minorEastAsia" w:eastAsiaTheme="minorEastAsia" w:hAnsiTheme="minorEastAsia" w:hint="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正确。</w:t>
      </w:r>
    </w:p>
    <w:p w14:paraId="05CDF211" w14:textId="77777777" w:rsidR="009048A2" w:rsidRDefault="009048A2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</w:p>
    <w:p w14:paraId="48CC3ABC" w14:textId="77777777" w:rsidR="009048A2" w:rsidRDefault="003A1D8A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7.</w:t>
      </w:r>
    </w:p>
    <w:p w14:paraId="5DF61FDA" w14:textId="77777777" w:rsidR="009048A2" w:rsidRDefault="003A1D8A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【答案】</w:t>
      </w:r>
      <w:r>
        <w:rPr>
          <w:rFonts w:asciiTheme="minorEastAsia" w:eastAsiaTheme="minorEastAsia" w:hAnsiTheme="minorEastAsia" w:hint="eastAsia"/>
          <w:szCs w:val="21"/>
        </w:rPr>
        <w:t>B</w:t>
      </w:r>
    </w:p>
    <w:p w14:paraId="4630DB11" w14:textId="2742FD34" w:rsidR="009048A2" w:rsidRDefault="003A1D8A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【解析】葡萄糖分子进入红细胞是协助扩散，进入其他细胞一般是主动运输，</w:t>
      </w:r>
      <w:r>
        <w:rPr>
          <w:rFonts w:asciiTheme="minorEastAsia" w:eastAsiaTheme="minorEastAsia" w:hAnsiTheme="minorEastAsia" w:hint="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错误；载体蛋白具有将被运载物从低浓度区域转运到高浓度区域的能力，</w:t>
      </w:r>
      <w:r>
        <w:rPr>
          <w:rFonts w:asciiTheme="minorEastAsia" w:eastAsiaTheme="minorEastAsia" w:hAnsiTheme="minorEastAsia" w:hint="eastAsia"/>
          <w:szCs w:val="21"/>
        </w:rPr>
        <w:t>它们拥有能与被运载物结合的特异的受体结构域，该</w:t>
      </w:r>
      <w:proofErr w:type="gramStart"/>
      <w:r>
        <w:rPr>
          <w:rFonts w:asciiTheme="minorEastAsia" w:eastAsiaTheme="minorEastAsia" w:hAnsiTheme="minorEastAsia" w:hint="eastAsia"/>
          <w:szCs w:val="21"/>
        </w:rPr>
        <w:t>结构域对被</w:t>
      </w:r>
      <w:proofErr w:type="gramEnd"/>
      <w:r>
        <w:rPr>
          <w:rFonts w:asciiTheme="minorEastAsia" w:eastAsiaTheme="minorEastAsia" w:hAnsiTheme="minorEastAsia" w:hint="eastAsia"/>
          <w:szCs w:val="21"/>
        </w:rPr>
        <w:t>运载物有较强的亲和性，与</w:t>
      </w:r>
      <w:r>
        <w:rPr>
          <w:rFonts w:asciiTheme="minorEastAsia" w:eastAsiaTheme="minorEastAsia" w:hAnsiTheme="minorEastAsia" w:hint="eastAsia"/>
          <w:szCs w:val="21"/>
        </w:rPr>
        <w:t>被运载物结合之后，</w:t>
      </w:r>
      <w:r>
        <w:rPr>
          <w:rFonts w:asciiTheme="minorEastAsia" w:eastAsiaTheme="minorEastAsia" w:hAnsiTheme="minorEastAsia" w:hint="eastAsia"/>
          <w:szCs w:val="21"/>
        </w:rPr>
        <w:t>载体蛋白会</w:t>
      </w:r>
      <w:r>
        <w:rPr>
          <w:rFonts w:asciiTheme="minorEastAsia" w:eastAsiaTheme="minorEastAsia" w:hAnsiTheme="minorEastAsia" w:hint="eastAsia"/>
          <w:szCs w:val="21"/>
        </w:rPr>
        <w:t>通过改变其空间结构将</w:t>
      </w:r>
      <w:r>
        <w:rPr>
          <w:rFonts w:asciiTheme="minorEastAsia" w:eastAsiaTheme="minorEastAsia" w:hAnsiTheme="minorEastAsia" w:hint="eastAsia"/>
          <w:szCs w:val="21"/>
        </w:rPr>
        <w:t>被运载物运输到</w:t>
      </w:r>
      <w:r>
        <w:rPr>
          <w:rFonts w:asciiTheme="minorEastAsia" w:eastAsiaTheme="minorEastAsia" w:hAnsiTheme="minorEastAsia" w:hint="eastAsia"/>
          <w:szCs w:val="21"/>
        </w:rPr>
        <w:t>生物膜的</w:t>
      </w:r>
      <w:r>
        <w:rPr>
          <w:rFonts w:asciiTheme="minorEastAsia" w:eastAsiaTheme="minorEastAsia" w:hAnsiTheme="minorEastAsia" w:hint="eastAsia"/>
          <w:szCs w:val="21"/>
        </w:rPr>
        <w:t>另一侧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正确；甘油进出细胞的方式是自由扩散，与载体无关，</w:t>
      </w:r>
      <w:r>
        <w:rPr>
          <w:rFonts w:asciiTheme="minorEastAsia" w:eastAsiaTheme="minorEastAsia" w:hAnsiTheme="minorEastAsia" w:hint="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错误；主动运输可逆浓度梯度进行，使细胞内外物质浓度差进一步加大，满足了细胞对营养物质的摄取需要，</w:t>
      </w:r>
      <w:r>
        <w:rPr>
          <w:rFonts w:asciiTheme="minorEastAsia" w:eastAsiaTheme="minorEastAsia" w:hAnsiTheme="minorEastAsia" w:hint="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错误。</w:t>
      </w:r>
    </w:p>
    <w:p w14:paraId="5B50F217" w14:textId="77777777" w:rsidR="009048A2" w:rsidRDefault="009048A2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</w:p>
    <w:p w14:paraId="4B64512B" w14:textId="77777777" w:rsidR="009048A2" w:rsidRDefault="003A1D8A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8. </w:t>
      </w:r>
    </w:p>
    <w:p w14:paraId="628ABF47" w14:textId="77777777" w:rsidR="009048A2" w:rsidRDefault="003A1D8A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答案】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）氨基酸</w:t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）专一；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数量</w:t>
      </w:r>
      <w:r>
        <w:rPr>
          <w:rFonts w:asciiTheme="minorEastAsia" w:eastAsiaTheme="minorEastAsia" w:hAnsiTheme="minorEastAsia" w:hint="eastAsia"/>
          <w:szCs w:val="21"/>
        </w:rPr>
        <w:t xml:space="preserve">     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）逆；主动</w:t>
      </w:r>
      <w:r>
        <w:rPr>
          <w:rFonts w:asciiTheme="minorEastAsia" w:eastAsia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）自由扩散</w:t>
      </w:r>
    </w:p>
    <w:p w14:paraId="7FD8ECC4" w14:textId="77777777" w:rsidR="009048A2" w:rsidRDefault="003A1D8A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解析】（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）蛋白质的基本组成单位为氨基酸，经消化后能够分解为氨基酸呗小肠绒毛上皮细胞吸收。（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）该载体只能转运葡萄糖和</w:t>
      </w:r>
      <w:r>
        <w:rPr>
          <w:rFonts w:asciiTheme="minorEastAsia" w:eastAsiaTheme="minorEastAsia" w:hAnsiTheme="minorEastAsia"/>
          <w:color w:val="000000"/>
          <w:szCs w:val="21"/>
        </w:rPr>
        <w:t>Na</w:t>
      </w:r>
      <w:r>
        <w:rPr>
          <w:rFonts w:asciiTheme="minorEastAsia" w:eastAsiaTheme="minorEastAsia" w:hAnsiTheme="minorEastAsia"/>
          <w:color w:val="000000"/>
          <w:szCs w:val="21"/>
          <w:vertAlign w:val="superscript"/>
        </w:rPr>
        <w:t>+</w:t>
      </w:r>
      <w:r>
        <w:rPr>
          <w:rFonts w:asciiTheme="minorEastAsia" w:eastAsiaTheme="minorEastAsia" w:hAnsiTheme="minorEastAsia" w:hint="eastAsia"/>
          <w:color w:val="000000"/>
          <w:szCs w:val="21"/>
        </w:rPr>
        <w:t>不能转运其它物质，说明了载体的专一性。载体分布在膜上，因此增大膜面积能够增加载体的数量。（</w:t>
      </w:r>
      <w:r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）由图可知，葡萄糖能够逆浓度梯度进入小肠上皮细胞，这种运输方式为主动运输。（</w:t>
      </w:r>
      <w:r>
        <w:rPr>
          <w:rFonts w:asciiTheme="minorEastAsia" w:eastAsiaTheme="minorEastAsia" w:hAnsiTheme="minorEastAsia" w:hint="eastAsia"/>
          <w:color w:val="000000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Cs w:val="21"/>
        </w:rPr>
        <w:t>）由于膜的基本支架为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磷脂双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分子层，因此脂溶性物质能够通过自由扩散的方式进入细胞。</w:t>
      </w:r>
    </w:p>
    <w:p w14:paraId="40002393" w14:textId="77777777" w:rsidR="009048A2" w:rsidRDefault="009048A2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hAnsiTheme="minorEastAsia"/>
          <w:szCs w:val="21"/>
        </w:rPr>
      </w:pPr>
    </w:p>
    <w:p w14:paraId="6061885B" w14:textId="77777777" w:rsidR="009048A2" w:rsidRDefault="009048A2">
      <w:pPr>
        <w:pStyle w:val="Normal1"/>
        <w:adjustRightInd w:val="0"/>
        <w:snapToGrid w:val="0"/>
        <w:spacing w:line="440" w:lineRule="exact"/>
        <w:jc w:val="left"/>
        <w:textAlignment w:val="center"/>
        <w:rPr>
          <w:rFonts w:asciiTheme="minorEastAsia" w:hAnsiTheme="minorEastAsia"/>
          <w:szCs w:val="21"/>
        </w:rPr>
      </w:pPr>
    </w:p>
    <w:p w14:paraId="18B8EF9D" w14:textId="77777777" w:rsidR="009048A2" w:rsidRDefault="003A1D8A">
      <w:pPr>
        <w:pStyle w:val="00"/>
        <w:spacing w:line="276" w:lineRule="auto"/>
        <w:ind w:left="525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9.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14:paraId="09CD2ABD" w14:textId="77777777" w:rsidR="009048A2" w:rsidRDefault="003A1D8A">
      <w:pPr>
        <w:pStyle w:val="00"/>
        <w:spacing w:line="276" w:lineRule="auto"/>
        <w:ind w:left="525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答案】</w:t>
      </w:r>
      <w:r>
        <w:rPr>
          <w:rFonts w:asciiTheme="minorEastAsia" w:eastAsiaTheme="minorEastAsia" w:hAnsiTheme="minor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）外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乙</w:t>
      </w:r>
      <w:r>
        <w:rPr>
          <w:rFonts w:asciiTheme="minorEastAsia" w:eastAsiaTheme="minorEastAsia" w:hAnsiTheme="minor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）质壁分离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原生质层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</w:p>
    <w:p w14:paraId="1EED39D4" w14:textId="77777777" w:rsidR="009048A2" w:rsidRDefault="003A1D8A">
      <w:pPr>
        <w:pStyle w:val="00"/>
        <w:spacing w:line="276" w:lineRule="auto"/>
        <w:ind w:firstLineChars="400" w:firstLine="840"/>
        <w:rPr>
          <w:rFonts w:asciiTheme="minorEastAsia" w:eastAsiaTheme="minorEastAsia" w:hAnsi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/>
          <w:szCs w:val="21"/>
        </w:rPr>
        <w:lastRenderedPageBreak/>
        <w:t>（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/>
          <w:szCs w:val="21"/>
        </w:rPr>
        <w:t>）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szCs w:val="21"/>
        </w:rPr>
        <w:t>与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/>
          <w:szCs w:val="21"/>
        </w:rPr>
        <w:t>（答全得分）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甲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&gt;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丙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&gt;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乙</w:t>
      </w:r>
    </w:p>
    <w:p w14:paraId="0DD03117" w14:textId="77777777" w:rsidR="009048A2" w:rsidRDefault="003A1D8A">
      <w:pPr>
        <w:pStyle w:val="00"/>
        <w:spacing w:line="276" w:lineRule="auto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szCs w:val="21"/>
        </w:rPr>
        <w:t>）开始由于外界溶</w:t>
      </w:r>
      <w:r>
        <w:rPr>
          <w:rFonts w:asciiTheme="minorEastAsia" w:eastAsiaTheme="minorEastAsia" w:hAnsiTheme="minorEastAsia"/>
          <w:szCs w:val="21"/>
        </w:rPr>
        <w:t>液浓度大于细胞液浓度，故</w:t>
      </w:r>
      <w:proofErr w:type="gramStart"/>
      <w:r>
        <w:rPr>
          <w:rFonts w:asciiTheme="minorEastAsia" w:eastAsiaTheme="minorEastAsia" w:hAnsiTheme="minorEastAsia"/>
          <w:szCs w:val="21"/>
        </w:rPr>
        <w:t>出现质壁分裂</w:t>
      </w:r>
      <w:proofErr w:type="gramEnd"/>
      <w:r>
        <w:rPr>
          <w:rFonts w:asciiTheme="minorEastAsia" w:eastAsiaTheme="minorEastAsia" w:hAnsiTheme="minorEastAsia"/>
          <w:szCs w:val="21"/>
        </w:rPr>
        <w:t>现象，但随着</w:t>
      </w:r>
      <w:r>
        <w:rPr>
          <w:rFonts w:asciiTheme="minorEastAsia" w:eastAsiaTheme="minorEastAsia" w:hAnsiTheme="minorEastAsia"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perscript"/>
        </w:rPr>
        <w:t>+</w:t>
      </w:r>
      <w:r>
        <w:rPr>
          <w:rFonts w:asciiTheme="minorEastAsia" w:eastAsiaTheme="minorEastAsia" w:hAnsiTheme="minorEastAsia"/>
          <w:szCs w:val="21"/>
        </w:rPr>
        <w:t>与</w:t>
      </w:r>
      <w:r>
        <w:rPr>
          <w:rFonts w:asciiTheme="minorEastAsia" w:eastAsiaTheme="minorEastAsia" w:hAnsiTheme="minorEastAsia"/>
          <w:szCs w:val="21"/>
        </w:rPr>
        <w:t>NO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  <w:vertAlign w:val="superscript"/>
        </w:rPr>
        <w:t>-</w:t>
      </w:r>
      <w:r>
        <w:rPr>
          <w:rFonts w:asciiTheme="minorEastAsia" w:eastAsiaTheme="minorEastAsia" w:hAnsiTheme="minorEastAsia"/>
          <w:szCs w:val="21"/>
        </w:rPr>
        <w:t>不断进入植物细胞，会导致细胞液浓度大于外界溶液，则会出现质壁分离复原。</w:t>
      </w:r>
    </w:p>
    <w:p w14:paraId="06F8063E" w14:textId="4FF886C3" w:rsidR="009048A2" w:rsidRDefault="003A1D8A">
      <w:pPr>
        <w:pStyle w:val="00"/>
        <w:spacing w:line="276" w:lineRule="auto"/>
        <w:ind w:left="525" w:hangingChars="250" w:hanging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解析】（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）紫色洋葱鳞片叶外表皮细胞含有色素，便于观察，因此需要撕取洋葱外表皮进行实验。将洋葱外表皮置于清水中，此时细胞内浓度大于细胞外浓度，细胞吸水，因此显微镜下观察到的细胞如图乙。（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）图</w:t>
      </w:r>
      <w:proofErr w:type="gramStart"/>
      <w:r>
        <w:rPr>
          <w:rFonts w:asciiTheme="minorEastAsia" w:eastAsiaTheme="minorEastAsia" w:hAnsiTheme="minorEastAsia" w:hint="eastAsia"/>
          <w:szCs w:val="21"/>
        </w:rPr>
        <w:t>甲发生</w:t>
      </w:r>
      <w:proofErr w:type="gramEnd"/>
      <w:r>
        <w:rPr>
          <w:rFonts w:asciiTheme="minorEastAsia" w:eastAsiaTheme="minorEastAsia" w:hAnsiTheme="minorEastAsia" w:hint="eastAsia"/>
          <w:szCs w:val="21"/>
        </w:rPr>
        <w:t>了质壁分离。当细胞液浓度小于外界溶液的浓度时，细胞液中的水就透过原生质</w:t>
      </w:r>
      <w:proofErr w:type="gramStart"/>
      <w:r>
        <w:rPr>
          <w:rFonts w:asciiTheme="minorEastAsia" w:eastAsiaTheme="minorEastAsia" w:hAnsiTheme="minorEastAsia" w:hint="eastAsia"/>
          <w:szCs w:val="21"/>
        </w:rPr>
        <w:t>层进入</w:t>
      </w:r>
      <w:proofErr w:type="gramEnd"/>
      <w:r>
        <w:rPr>
          <w:rFonts w:asciiTheme="minorEastAsia" w:eastAsiaTheme="minorEastAsia" w:hAnsiTheme="minorEastAsia" w:hint="eastAsia"/>
          <w:szCs w:val="21"/>
        </w:rPr>
        <w:t>外界溶液中，使细胞壁和原生质层都出现一定程度的收缩。由于原生质层比细胞比的伸缩性大，原生质层就会与细胞壁逐渐分离开来。（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）细胞液为液泡中的液体，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szCs w:val="21"/>
        </w:rPr>
        <w:t>与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表示细胞液。由于图甲细胞失水最多，因此可以判断，其细胞所处的外界液体浓度最大。</w:t>
      </w:r>
      <w:r>
        <w:rPr>
          <w:rFonts w:asciiTheme="minorEastAsia" w:hAnsiTheme="minorEastAsia"/>
          <w:szCs w:val="21"/>
          <w:shd w:val="clear" w:color="auto" w:fill="FFFFFF"/>
        </w:rPr>
        <w:t>甲、乙、</w:t>
      </w:r>
      <w:r>
        <w:rPr>
          <w:rFonts w:asciiTheme="minorEastAsia" w:hAnsiTheme="minorEastAsia"/>
          <w:szCs w:val="21"/>
          <w:shd w:val="clear" w:color="auto" w:fill="FFFFFF"/>
        </w:rPr>
        <w:t>丙图细胞所处的外界液体的浓度大小依次为</w:t>
      </w:r>
      <w:r>
        <w:rPr>
          <w:rFonts w:asciiTheme="minorEastAsia" w:eastAsiaTheme="minorEastAsia" w:hAnsiTheme="minorEastAsia"/>
          <w:szCs w:val="21"/>
        </w:rPr>
        <w:t>甲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&gt;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丙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&gt;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乙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。（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4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）如果用</w:t>
      </w:r>
      <w:r>
        <w:rPr>
          <w:rFonts w:asciiTheme="minorEastAsia" w:hAnsiTheme="minorEastAsia" w:hint="eastAsia"/>
          <w:szCs w:val="21"/>
        </w:rPr>
        <w:t>一定浓度的</w:t>
      </w:r>
      <w:r>
        <w:rPr>
          <w:rFonts w:asciiTheme="minorEastAsia" w:hAnsiTheme="minorEastAsia" w:hint="eastAsia"/>
          <w:szCs w:val="21"/>
        </w:rPr>
        <w:t>KNO</w:t>
      </w:r>
      <w:r>
        <w:rPr>
          <w:rFonts w:asciiTheme="minorEastAsia" w:hAnsiTheme="minorEastAsia" w:hint="eastAsia"/>
          <w:szCs w:val="21"/>
          <w:vertAlign w:val="subscript"/>
        </w:rPr>
        <w:t>3</w:t>
      </w:r>
      <w:r>
        <w:rPr>
          <w:rFonts w:asciiTheme="minorEastAsia" w:hAnsiTheme="minorEastAsia" w:hint="eastAsia"/>
          <w:szCs w:val="21"/>
        </w:rPr>
        <w:t>溶液代替蔗糖溶液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开始由于外界溶液浓度大于细胞液浓度，故出现质壁分裂现象，但随着</w:t>
      </w:r>
      <w:r>
        <w:rPr>
          <w:rFonts w:asciiTheme="minorEastAsia" w:eastAsiaTheme="minorEastAsia" w:hAnsiTheme="minorEastAsia"/>
          <w:szCs w:val="21"/>
        </w:rPr>
        <w:t>K</w:t>
      </w:r>
      <w:r>
        <w:rPr>
          <w:rFonts w:asciiTheme="minorEastAsia" w:eastAsiaTheme="minorEastAsia" w:hAnsiTheme="minorEastAsia"/>
          <w:szCs w:val="21"/>
          <w:vertAlign w:val="superscript"/>
        </w:rPr>
        <w:t>+</w:t>
      </w:r>
      <w:r>
        <w:rPr>
          <w:rFonts w:asciiTheme="minorEastAsia" w:eastAsiaTheme="minorEastAsia" w:hAnsiTheme="minorEastAsia"/>
          <w:szCs w:val="21"/>
        </w:rPr>
        <w:t>与</w:t>
      </w:r>
      <w:r>
        <w:rPr>
          <w:rFonts w:asciiTheme="minorEastAsia" w:eastAsiaTheme="minorEastAsia" w:hAnsiTheme="minorEastAsia"/>
          <w:szCs w:val="21"/>
        </w:rPr>
        <w:t>NO</w:t>
      </w:r>
      <w:r>
        <w:rPr>
          <w:rFonts w:asciiTheme="minorEastAsia" w:eastAsiaTheme="minorEastAsia" w:hAnsiTheme="minorEastAsia"/>
          <w:szCs w:val="21"/>
          <w:vertAlign w:val="subscript"/>
        </w:rPr>
        <w:t>3</w:t>
      </w:r>
      <w:r>
        <w:rPr>
          <w:rFonts w:asciiTheme="minorEastAsia" w:eastAsiaTheme="minorEastAsia" w:hAnsiTheme="minorEastAsia" w:hint="eastAsia"/>
          <w:szCs w:val="21"/>
          <w:vertAlign w:val="superscript"/>
        </w:rPr>
        <w:t>-</w:t>
      </w:r>
      <w:r>
        <w:rPr>
          <w:rFonts w:asciiTheme="minorEastAsia" w:eastAsiaTheme="minorEastAsia" w:hAnsiTheme="minorEastAsia"/>
          <w:szCs w:val="21"/>
        </w:rPr>
        <w:t>不断进入植物细胞，会导致细胞液浓度大于外界溶液，则会出现质壁分离</w:t>
      </w:r>
      <w:r>
        <w:rPr>
          <w:rFonts w:asciiTheme="minorEastAsia" w:eastAsiaTheme="minorEastAsia" w:hAnsiTheme="minorEastAsia" w:hint="eastAsia"/>
          <w:szCs w:val="21"/>
        </w:rPr>
        <w:t>自动</w:t>
      </w:r>
      <w:bookmarkStart w:id="0" w:name="_GoBack"/>
      <w:bookmarkEnd w:id="0"/>
      <w:r>
        <w:rPr>
          <w:rFonts w:asciiTheme="minorEastAsia" w:eastAsiaTheme="minorEastAsia" w:hAnsiTheme="minorEastAsia"/>
          <w:szCs w:val="21"/>
        </w:rPr>
        <w:t>复原。</w:t>
      </w:r>
    </w:p>
    <w:p w14:paraId="7414258D" w14:textId="77777777" w:rsidR="009048A2" w:rsidRDefault="009048A2">
      <w:pPr>
        <w:pStyle w:val="00"/>
        <w:spacing w:line="276" w:lineRule="auto"/>
        <w:ind w:left="525" w:hangingChars="250" w:hanging="525"/>
        <w:rPr>
          <w:rFonts w:asciiTheme="minorEastAsia" w:eastAsiaTheme="minorEastAsia" w:hAnsiTheme="minorEastAsia"/>
          <w:szCs w:val="21"/>
        </w:rPr>
      </w:pPr>
    </w:p>
    <w:p w14:paraId="43F198CB" w14:textId="77777777" w:rsidR="009048A2" w:rsidRDefault="003A1D8A">
      <w:pPr>
        <w:tabs>
          <w:tab w:val="left" w:pos="142"/>
          <w:tab w:val="left" w:pos="2730"/>
          <w:tab w:val="left" w:pos="5460"/>
        </w:tabs>
        <w:spacing w:line="400" w:lineRule="exact"/>
        <w:ind w:left="210" w:hangingChars="100" w:hanging="210"/>
        <w:rPr>
          <w:rFonts w:asciiTheme="minorEastAsia" w:hAnsiTheme="minorEastAsia" w:cs="Times New Roman"/>
          <w:spacing w:val="8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</w:rPr>
        <w:t>10.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 xml:space="preserve"> </w:t>
      </w:r>
    </w:p>
    <w:p w14:paraId="267F8647" w14:textId="77777777" w:rsidR="009048A2" w:rsidRDefault="003A1D8A">
      <w:pPr>
        <w:tabs>
          <w:tab w:val="left" w:pos="142"/>
          <w:tab w:val="left" w:pos="2730"/>
          <w:tab w:val="left" w:pos="5460"/>
        </w:tabs>
        <w:spacing w:line="400" w:lineRule="exact"/>
        <w:ind w:left="226" w:hangingChars="100" w:hanging="226"/>
        <w:rPr>
          <w:rFonts w:asciiTheme="minorEastAsia" w:hAnsiTheme="minorEastAsia" w:cs="Times New Roman"/>
          <w:spacing w:val="8"/>
          <w:szCs w:val="21"/>
          <w:shd w:val="clear" w:color="auto" w:fill="FFFFFF"/>
        </w:rPr>
      </w:pP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【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答案】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（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1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）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①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主动运输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 xml:space="preserve">    </w:t>
      </w:r>
    </w:p>
    <w:p w14:paraId="054F262B" w14:textId="77777777" w:rsidR="009048A2" w:rsidRDefault="003A1D8A">
      <w:pPr>
        <w:tabs>
          <w:tab w:val="left" w:pos="142"/>
          <w:tab w:val="left" w:pos="2730"/>
          <w:tab w:val="left" w:pos="5460"/>
        </w:tabs>
        <w:spacing w:line="400" w:lineRule="exact"/>
        <w:ind w:leftChars="107" w:left="225" w:firstLineChars="600" w:firstLine="1356"/>
        <w:rPr>
          <w:rFonts w:asciiTheme="minorEastAsia" w:hAnsiTheme="minorEastAsia" w:cs="Times New Roman"/>
          <w:spacing w:val="8"/>
          <w:szCs w:val="21"/>
          <w:shd w:val="clear" w:color="auto" w:fill="FFFFFF"/>
        </w:rPr>
      </w:pP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②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抑制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 xml:space="preserve">    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受阻（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被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抑制）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 xml:space="preserve">    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激活（开启、打开）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 xml:space="preserve">   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提高</w:t>
      </w:r>
    </w:p>
    <w:p w14:paraId="4877E0F7" w14:textId="77777777" w:rsidR="009048A2" w:rsidRDefault="003A1D8A">
      <w:pPr>
        <w:tabs>
          <w:tab w:val="left" w:pos="142"/>
          <w:tab w:val="left" w:pos="2730"/>
          <w:tab w:val="left" w:pos="5460"/>
        </w:tabs>
        <w:spacing w:line="400" w:lineRule="exact"/>
        <w:ind w:leftChars="150" w:left="315" w:firstLineChars="250" w:firstLine="565"/>
        <w:rPr>
          <w:rFonts w:asciiTheme="minorEastAsia" w:hAnsiTheme="minorEastAsia" w:cs="Times New Roman"/>
          <w:spacing w:val="8"/>
          <w:szCs w:val="21"/>
          <w:shd w:val="clear" w:color="auto" w:fill="FFFFFF"/>
        </w:rPr>
      </w:pP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（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2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）水解酶（酶）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 xml:space="preserve">     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分解</w:t>
      </w:r>
    </w:p>
    <w:p w14:paraId="39FE370D" w14:textId="77777777" w:rsidR="009048A2" w:rsidRDefault="003A1D8A">
      <w:pPr>
        <w:tabs>
          <w:tab w:val="left" w:pos="142"/>
          <w:tab w:val="left" w:pos="2730"/>
          <w:tab w:val="left" w:pos="5460"/>
        </w:tabs>
        <w:spacing w:line="400" w:lineRule="exact"/>
        <w:ind w:left="226" w:hangingChars="100" w:hanging="226"/>
        <w:rPr>
          <w:rFonts w:asciiTheme="minorEastAsia" w:hAnsiTheme="minorEastAsia" w:cs="Times New Roman"/>
          <w:spacing w:val="8"/>
          <w:szCs w:val="21"/>
          <w:shd w:val="clear" w:color="auto" w:fill="FFFFFF"/>
        </w:rPr>
      </w:pP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【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解析】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（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1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）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①H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  <w:vertAlign w:val="superscript"/>
        </w:rPr>
        <w:t>+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运输过程需要消耗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ATP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，且需要载体蛋白的协助，因此为主动运输。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②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由图可知，在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ATP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功能下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m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TOR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对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TPC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起到了抑制作用，当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ATP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减少时，抑制作用被解除，使得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Na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  <w:vertAlign w:val="superscript"/>
        </w:rPr>
        <w:t>+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能够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向溶酶体外运输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，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此时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H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  <w:vertAlign w:val="superscript"/>
        </w:rPr>
        <w:t>+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向溶酶体内转运过程受阻，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升高的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pH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进一步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激活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TPC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通道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，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使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Na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  <w:vertAlign w:val="superscript"/>
        </w:rPr>
        <w:t>+</w:t>
      </w:r>
      <w:r>
        <w:rPr>
          <w:rFonts w:asciiTheme="minorEastAsia" w:hAnsiTheme="minorEastAsia" w:cs="Times New Roman"/>
          <w:spacing w:val="8"/>
          <w:szCs w:val="21"/>
          <w:shd w:val="clear" w:color="auto" w:fill="FFFFFF"/>
        </w:rPr>
        <w:t>向溶酶体外运输速率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提高。（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2</w:t>
      </w:r>
      <w:r>
        <w:rPr>
          <w:rFonts w:asciiTheme="minorEastAsia" w:hAnsiTheme="minorEastAsia" w:cs="Times New Roman" w:hint="eastAsia"/>
          <w:spacing w:val="8"/>
          <w:szCs w:val="21"/>
          <w:shd w:val="clear" w:color="auto" w:fill="FFFFFF"/>
        </w:rPr>
        <w:t>）溶酶体是细胞的“消化车间”，内部含有多种水解酶，上述机制可以保证水解酶的活性，从而使溶酶体能够分解衰老、损伤的细胞器。</w:t>
      </w:r>
    </w:p>
    <w:sectPr w:rsidR="00904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AB"/>
    <w:rsid w:val="0005104D"/>
    <w:rsid w:val="001705FE"/>
    <w:rsid w:val="00171E35"/>
    <w:rsid w:val="00211466"/>
    <w:rsid w:val="00274F3B"/>
    <w:rsid w:val="002766B5"/>
    <w:rsid w:val="002A4EB2"/>
    <w:rsid w:val="002B2B38"/>
    <w:rsid w:val="003A1D8A"/>
    <w:rsid w:val="004601AC"/>
    <w:rsid w:val="004A1449"/>
    <w:rsid w:val="004A1AC7"/>
    <w:rsid w:val="004F03CF"/>
    <w:rsid w:val="0051372A"/>
    <w:rsid w:val="00544EE6"/>
    <w:rsid w:val="00567DFB"/>
    <w:rsid w:val="005C3E7D"/>
    <w:rsid w:val="00611CD3"/>
    <w:rsid w:val="006417FE"/>
    <w:rsid w:val="006725EF"/>
    <w:rsid w:val="006D0E35"/>
    <w:rsid w:val="007006D9"/>
    <w:rsid w:val="00705383"/>
    <w:rsid w:val="00706242"/>
    <w:rsid w:val="00786F8A"/>
    <w:rsid w:val="008E11B0"/>
    <w:rsid w:val="009048A2"/>
    <w:rsid w:val="00944280"/>
    <w:rsid w:val="00946837"/>
    <w:rsid w:val="00982BBB"/>
    <w:rsid w:val="0098505C"/>
    <w:rsid w:val="009A045A"/>
    <w:rsid w:val="00A710F2"/>
    <w:rsid w:val="00B526BC"/>
    <w:rsid w:val="00BB27A8"/>
    <w:rsid w:val="00BD249C"/>
    <w:rsid w:val="00C87969"/>
    <w:rsid w:val="00DF02AB"/>
    <w:rsid w:val="00EE1F34"/>
    <w:rsid w:val="00FE78C6"/>
    <w:rsid w:val="3D4A77C5"/>
    <w:rsid w:val="5C1B2445"/>
    <w:rsid w:val="603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B204"/>
  <w15:docId w15:val="{58D604ED-9469-474D-9699-7F59B28A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a6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paragraph" w:customStyle="1" w:styleId="0">
    <w:name w:val="纯文本_0"/>
    <w:basedOn w:val="a"/>
    <w:link w:val="Char"/>
    <w:qFormat/>
    <w:rPr>
      <w:rFonts w:ascii="宋体" w:eastAsia="宋体" w:hAnsi="Courier New" w:cs="Times New Roman"/>
      <w:szCs w:val="21"/>
    </w:rPr>
  </w:style>
  <w:style w:type="character" w:customStyle="1" w:styleId="Char">
    <w:name w:val="纯文本 Char"/>
    <w:link w:val="0"/>
    <w:qFormat/>
    <w:rPr>
      <w:rFonts w:ascii="宋体" w:eastAsia="宋体" w:hAnsi="Courier New" w:cs="Times New Roman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OptWithTabs1SpecialMathIndent1">
    <w:name w:val="OptWithTabs1SpecialMathIndent1"/>
    <w:basedOn w:val="a"/>
    <w:next w:val="a"/>
    <w:qFormat/>
    <w:pPr>
      <w:tabs>
        <w:tab w:val="left" w:pos="603"/>
        <w:tab w:val="left" w:pos="2799"/>
        <w:tab w:val="left" w:pos="5055"/>
        <w:tab w:val="left" w:pos="7335"/>
      </w:tabs>
    </w:pPr>
    <w:rPr>
      <w:rFonts w:ascii="Calibri" w:eastAsia="宋体" w:hAnsi="Calibri" w:cs="Times New Roman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正文文本 (2)_"/>
    <w:basedOn w:val="a0"/>
    <w:rPr>
      <w:rFonts w:ascii="宋体" w:eastAsia="宋体" w:hAnsi="宋体" w:cs="宋体"/>
      <w:sz w:val="20"/>
      <w:szCs w:val="20"/>
      <w:u w:val="none"/>
    </w:rPr>
  </w:style>
  <w:style w:type="character" w:customStyle="1" w:styleId="2Georgia">
    <w:name w:val="正文文本 (2) + Georgia"/>
    <w:basedOn w:val="2"/>
    <w:qFormat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pt">
    <w:name w:val="正文文本 (2) + 间距 1 pt"/>
    <w:basedOn w:val="2"/>
    <w:qFormat/>
    <w:rPr>
      <w:rFonts w:ascii="宋体" w:eastAsia="宋体" w:hAnsi="宋体" w:cs="宋体"/>
      <w:color w:val="000000"/>
      <w:spacing w:val="2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0">
    <w:name w:val="正文文本 (2)"/>
    <w:basedOn w:val="2"/>
    <w:qFormat/>
    <w:rPr>
      <w:rFonts w:ascii="宋体" w:eastAsia="宋体" w:hAnsi="宋体" w:cs="宋体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xiao hongwei</cp:lastModifiedBy>
  <cp:revision>19</cp:revision>
  <dcterms:created xsi:type="dcterms:W3CDTF">2020-01-17T09:54:00Z</dcterms:created>
  <dcterms:modified xsi:type="dcterms:W3CDTF">2020-02-10T04:05:00Z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