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left" w:pos="884"/>
        </w:tabs>
        <w:spacing w:before="123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作业：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4"/>
        </w:tabs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1.答案如下表，据表回答。</w:t>
      </w:r>
    </w:p>
    <w:tbl>
      <w:tblPr>
        <w:tblStyle w:val="5"/>
        <w:tblW w:w="499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936"/>
        <w:gridCol w:w="1627"/>
        <w:gridCol w:w="1910"/>
        <w:gridCol w:w="20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66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8" w:type="pct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黑色显性(M),则白色隐性(m)</w:t>
            </w:r>
          </w:p>
        </w:tc>
        <w:tc>
          <w:tcPr>
            <w:tcW w:w="2384" w:type="pct"/>
            <w:gridSpan w:val="2"/>
            <w:tcBorders>
              <w:right w:val="double" w:color="000000" w:sz="0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黑色隐性(m),则白色显性(M)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6" w:type="pct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位于常染色体上</w:t>
            </w:r>
          </w:p>
        </w:tc>
        <w:tc>
          <w:tcPr>
            <w:tcW w:w="116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基因型</w:t>
            </w:r>
          </w:p>
        </w:tc>
        <w:tc>
          <w:tcPr>
            <w:tcW w:w="98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表现型</w:t>
            </w:r>
          </w:p>
        </w:tc>
        <w:tc>
          <w:tcPr>
            <w:tcW w:w="11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基因型</w:t>
            </w:r>
          </w:p>
        </w:tc>
        <w:tc>
          <w:tcPr>
            <w:tcW w:w="1256" w:type="pct"/>
            <w:tcBorders>
              <w:right w:val="double" w:color="000000" w:sz="0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表现型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6" w:type="pct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F1的基因型比例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全部为Mm</w:t>
            </w:r>
          </w:p>
        </w:tc>
        <w:tc>
          <w:tcPr>
            <w:tcW w:w="98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黑色</w:t>
            </w:r>
          </w:p>
        </w:tc>
        <w:tc>
          <w:tcPr>
            <w:tcW w:w="11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F1的基因型比例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全部为Mm</w:t>
            </w:r>
          </w:p>
        </w:tc>
        <w:tc>
          <w:tcPr>
            <w:tcW w:w="1256" w:type="pct"/>
            <w:tcBorders>
              <w:right w:val="double" w:color="000000" w:sz="0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466" w:type="pct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F2的基因型比例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MM:Mm：mm=1:2:1</w:t>
            </w:r>
          </w:p>
        </w:tc>
        <w:tc>
          <w:tcPr>
            <w:tcW w:w="98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黑色：白色=3：1</w:t>
            </w:r>
          </w:p>
        </w:tc>
        <w:tc>
          <w:tcPr>
            <w:tcW w:w="11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F2的基因型比例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MM:Mm：mm=1:2:1</w:t>
            </w:r>
          </w:p>
        </w:tc>
        <w:tc>
          <w:tcPr>
            <w:tcW w:w="1256" w:type="pct"/>
            <w:tcBorders>
              <w:right w:val="double" w:color="000000" w:sz="0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白色：黑色=3：1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66" w:type="pct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位于X染色体上</w:t>
            </w:r>
          </w:p>
        </w:tc>
        <w:tc>
          <w:tcPr>
            <w:tcW w:w="116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F1的基因型比例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XMXm:XMY=1:1</w:t>
            </w:r>
          </w:p>
        </w:tc>
        <w:tc>
          <w:tcPr>
            <w:tcW w:w="98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黑色</w:t>
            </w:r>
          </w:p>
        </w:tc>
        <w:tc>
          <w:tcPr>
            <w:tcW w:w="11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F1的基因型比例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XMXm:XmY=1:1</w:t>
            </w:r>
          </w:p>
        </w:tc>
        <w:tc>
          <w:tcPr>
            <w:tcW w:w="1256" w:type="pct"/>
            <w:tcBorders>
              <w:right w:val="double" w:color="000000" w:sz="0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雌性黑色，雄性白色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466" w:type="pct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F2的基因型比例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XMXM:XMXm:XMY:XmY=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1：1：1：1</w:t>
            </w:r>
          </w:p>
        </w:tc>
        <w:tc>
          <w:tcPr>
            <w:tcW w:w="98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雌黑：雄黑：雄白=2：1：1</w:t>
            </w:r>
          </w:p>
        </w:tc>
        <w:tc>
          <w:tcPr>
            <w:tcW w:w="11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F2的基因型比例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XMXm:XmXm:XMY:XmY=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1：1：1：1</w:t>
            </w:r>
          </w:p>
        </w:tc>
        <w:tc>
          <w:tcPr>
            <w:tcW w:w="1256" w:type="pct"/>
            <w:tcBorders>
              <w:right w:val="double" w:color="000000" w:sz="0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雌白：雌黑：雄白：雄黑=1：1：1：1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5317"/>
          <w:tab w:val="left" w:pos="9231"/>
        </w:tabs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rPr>
          <w:rFonts w:hint="default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1"/>
          <w:szCs w:val="21"/>
        </w:rPr>
        <w:t>结论：</w:t>
      </w:r>
      <w:r>
        <w:rPr>
          <w:rFonts w:hint="eastAsia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  <w:t>据表回答（略）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u w:val="non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(4)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u w:val="none"/>
          <w:lang w:val="en-US" w:eastAsia="zh-CN"/>
        </w:rPr>
        <w:t>抑制（降低）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u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u w:val="none"/>
        </w:rPr>
        <w:t>(5)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u w:val="none"/>
          <w:lang w:val="en-US" w:eastAsia="zh-CN"/>
        </w:rPr>
        <w:t>未遮光   光合含量降，光合速率上升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u w:val="none"/>
        </w:rPr>
        <w:t>_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="0" w:leftChars="0" w:right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演绎：那么，对A1（A2)遮光，A2(A1)的光合速率将会提高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="0" w:leftChars="0" w:right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设计：实验组：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 xml:space="preserve"> A1（A2）遮光处理，测量A2(A1)的光合产物含量和光合速率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="0" w:leftChars="0" w:right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 xml:space="preserve">      对照组：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 xml:space="preserve"> A1（A2）正常光照，测量A2（A1）的光合产物含量和光合速率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="0" w:leftChars="0" w:right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>预期的结果：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 xml:space="preserve">   实验组A2（A1）的光合产物含量小于对照组，而光合速率大于对照组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right="0" w:rightChars="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right="0" w:rightChars="0"/>
        <w:rPr>
          <w:rFonts w:ascii="宋体" w:hAnsi="宋体"/>
          <w:color w:val="000000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3.</w:t>
      </w:r>
      <w:r>
        <w:rPr>
          <w:rFonts w:hint="eastAsia" w:ascii="Times New Roman"/>
          <w:b/>
          <w:sz w:val="21"/>
          <w:szCs w:val="21"/>
          <w:lang w:val="en-US" w:eastAsia="zh-CN"/>
        </w:rPr>
        <w:t>（1）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center"/>
        <w:rPr>
          <w:rFonts w:hint="eastAsia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假设：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感染康复的NA抗体能特异性地阻止病毒对易感细胞的侵染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center"/>
        <w:rPr>
          <w:rFonts w:hint="default" w:ascii="宋体" w:hAnsi="宋体"/>
          <w:color w:val="000000"/>
          <w:u w:val="none"/>
          <w:lang w:val="en-US" w:eastAsia="zh-CN"/>
        </w:rPr>
      </w:pPr>
      <w:r>
        <w:rPr>
          <w:rFonts w:hint="eastAsia" w:ascii="宋体" w:hAnsi="宋体"/>
          <w:color w:val="000000"/>
          <w:u w:val="none"/>
          <w:lang w:val="en-US" w:eastAsia="zh-CN"/>
        </w:rPr>
        <w:t>演绎：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则该抗体与病毒结合后，抑制病毒对易感细胞的侵染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center"/>
        <w:rPr>
          <w:rFonts w:hint="eastAsia" w:ascii="宋体" w:hAnsi="宋体"/>
          <w:color w:val="000000"/>
          <w:u w:val="none"/>
          <w:lang w:val="en-US" w:eastAsia="zh-CN"/>
        </w:rPr>
      </w:pPr>
      <w:r>
        <w:rPr>
          <w:rFonts w:hint="eastAsia" w:ascii="宋体" w:hAnsi="宋体"/>
          <w:color w:val="000000"/>
          <w:u w:val="none"/>
          <w:lang w:val="en-US" w:eastAsia="zh-CN"/>
        </w:rPr>
        <w:t>（2）设计可观测的实验：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center"/>
        <w:rPr>
          <w:rFonts w:hint="eastAsia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  <w:u w:val="none"/>
          <w:lang w:val="en-US" w:eastAsia="zh-CN"/>
        </w:rPr>
        <w:t>预期的结果是：与对照组相比，实验组：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抑制率上升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Times New Roman" w:hAnsi="Times New Roman" w:eastAsia="Times New Roman"/>
          <w:color w:val="000000"/>
        </w:rPr>
        <w:t>a c e</w:t>
      </w:r>
      <w:r>
        <w:rPr>
          <w:rFonts w:hint="eastAsia" w:ascii="Times New Roman" w:hAnsi="Times New Roman"/>
          <w:color w:val="000000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/>
          <w:color w:val="000000"/>
        </w:rPr>
        <w:t>②</w:t>
      </w:r>
      <w:r>
        <w:rPr>
          <w:rFonts w:ascii="Times New Roman" w:hAnsi="Times New Roman" w:eastAsia="Times New Roman"/>
          <w:color w:val="000000"/>
        </w:rPr>
        <w:t>D63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流感病毒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3）</w:t>
      </w:r>
      <w:r>
        <w:rPr>
          <w:rFonts w:ascii="宋体" w:hAnsi="宋体"/>
          <w:color w:val="000000"/>
        </w:rPr>
        <w:t>从感染流感病毒较长时间（如</w:t>
      </w:r>
      <w:r>
        <w:rPr>
          <w:rFonts w:ascii="Times New Roman" w:hAnsi="Times New Roman" w:eastAsia="Times New Roman"/>
          <w:color w:val="000000"/>
        </w:rPr>
        <w:t>63</w:t>
      </w:r>
      <w:r>
        <w:rPr>
          <w:rFonts w:ascii="宋体" w:hAnsi="宋体"/>
          <w:color w:val="000000"/>
        </w:rPr>
        <w:t>天）康复者血清中提取并纯化</w:t>
      </w:r>
      <w:r>
        <w:rPr>
          <w:rFonts w:ascii="Times New Roman" w:hAnsi="Times New Roman" w:eastAsia="Times New Roman"/>
          <w:color w:val="000000"/>
        </w:rPr>
        <w:t>HA</w:t>
      </w:r>
      <w:r>
        <w:rPr>
          <w:rFonts w:ascii="宋体" w:hAnsi="宋体"/>
          <w:color w:val="000000"/>
        </w:rPr>
        <w:t>抗体，对其进行结构分析，利用蛋白质工程制备</w:t>
      </w:r>
      <w:r>
        <w:rPr>
          <w:rFonts w:hint="eastAsia" w:ascii="宋体" w:hAnsi="宋体"/>
          <w:color w:val="000000"/>
          <w:lang w:val="en-US" w:eastAsia="zh-CN"/>
        </w:rPr>
        <w:t>抗体或疫苗</w:t>
      </w:r>
      <w:r>
        <w:rPr>
          <w:rFonts w:ascii="宋体" w:hAnsi="宋体"/>
          <w:color w:val="000000"/>
        </w:rPr>
        <w:t>，进行治疗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center"/>
        <w:rPr>
          <w:rFonts w:hint="default" w:ascii="Times New Roman" w:eastAsia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Times New Roman"/>
          <w:b w:val="0"/>
          <w:bCs/>
          <w:sz w:val="21"/>
          <w:szCs w:val="21"/>
          <w:u w:val="none"/>
          <w:lang w:val="en-US" w:eastAsia="zh-CN"/>
        </w:rPr>
        <w:t xml:space="preserve">    配合接受调查，上报接触细节； 自觉隔离，每日测量体温，上报身体状况； 做好隔离区域的消毒工作； 注意饮食健康，保持积极心态。</w:t>
      </w:r>
    </w:p>
    <w:sectPr>
      <w:headerReference r:id="rId3" w:type="default"/>
      <w:footerReference r:id="rId4" w:type="default"/>
      <w:type w:val="continuous"/>
      <w:pgSz w:w="11910" w:h="16840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90272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10074275</wp:posOffset>
              </wp:positionV>
              <wp:extent cx="1079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5pt;margin-top:793.25pt;height:11pt;width:8.5pt;mso-position-horizontal-relative:page;mso-position-vertical-relative:page;z-index:-252126208;mso-width-relative:page;mso-height-relative:page;" filled="f" stroked="f" coordsize="21600,21600" o:gfxdata="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ZxYcHZAAAADQEAAA8AAAAAAAAA&#10;AQAgAAAAIgAAAGRycy9kb3ducmV2LnhtbFBLAQIUABQAAAAIAIdO4kBJGFLC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46BB"/>
    <w:rsid w:val="025B5CEF"/>
    <w:rsid w:val="152146BB"/>
    <w:rsid w:val="20B106F3"/>
    <w:rsid w:val="412E1A69"/>
    <w:rsid w:val="5C897F63"/>
    <w:rsid w:val="605B6481"/>
    <w:rsid w:val="73D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260"/>
      <w:outlineLvl w:val="2"/>
    </w:pPr>
    <w:rPr>
      <w:rFonts w:ascii="华文楷体" w:hAnsi="华文楷体" w:eastAsia="华文楷体" w:cs="华文楷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Plain Text"/>
    <w:basedOn w:val="1"/>
    <w:qFormat/>
    <w:uiPriority w:val="99"/>
    <w:rPr>
      <w:rFonts w:ascii="宋体" w:hAnsi="Courier New"/>
      <w:szCs w:val="21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8">
    <w:name w:val="List Paragraph"/>
    <w:basedOn w:val="1"/>
    <w:qFormat/>
    <w:uiPriority w:val="1"/>
    <w:pPr>
      <w:ind w:left="831" w:hanging="312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2020-02-08T14:19:00Z</dcterms:created>
  <dc:creator>WORKING</dc:creator>
  <cp:lastModifiedBy>WORKING</cp:lastModifiedBy>
  <dcterms:modified xsi:type="dcterms:W3CDTF">2020-02-09T02:34:36Z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