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290"/>
          <w:tab w:val="center" w:pos="4380"/>
        </w:tabs>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val="0"/>
          <w:spacing w:val="30"/>
          <w:kern w:val="10"/>
          <w:sz w:val="30"/>
          <w:szCs w:val="30"/>
          <w:lang w:eastAsia="zh-CN"/>
        </w:rPr>
      </w:pPr>
      <w:bookmarkStart w:id="0" w:name="_GoBack"/>
      <w:r>
        <w:rPr>
          <w:rFonts w:hint="eastAsia" w:ascii="宋体" w:hAnsi="宋体" w:eastAsia="宋体" w:cs="宋体"/>
          <w:b/>
          <w:bCs w:val="0"/>
          <w:spacing w:val="30"/>
          <w:kern w:val="10"/>
          <w:sz w:val="30"/>
          <w:szCs w:val="30"/>
        </w:rPr>
        <w:t>朝阳区初二语文</w:t>
      </w:r>
      <w:r>
        <w:rPr>
          <w:rFonts w:hint="eastAsia" w:ascii="宋体" w:hAnsi="宋体" w:eastAsia="宋体" w:cs="宋体"/>
          <w:b/>
          <w:bCs w:val="0"/>
          <w:spacing w:val="30"/>
          <w:kern w:val="10"/>
          <w:sz w:val="30"/>
          <w:szCs w:val="30"/>
          <w:lang w:eastAsia="zh-CN"/>
        </w:rPr>
        <w:t>名著阅读</w:t>
      </w:r>
    </w:p>
    <w:p>
      <w:pPr>
        <w:keepNext w:val="0"/>
        <w:keepLines w:val="0"/>
        <w:pageBreakBefore w:val="0"/>
        <w:widowControl w:val="0"/>
        <w:tabs>
          <w:tab w:val="left" w:pos="1290"/>
          <w:tab w:val="center" w:pos="4380"/>
        </w:tabs>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val="0"/>
          <w:sz w:val="28"/>
          <w:szCs w:val="28"/>
          <w:lang w:eastAsia="zh-CN"/>
        </w:rPr>
      </w:pPr>
      <w:r>
        <w:rPr>
          <w:rFonts w:hint="eastAsia" w:ascii="宋体" w:hAnsi="宋体" w:eastAsia="宋体" w:cs="宋体"/>
          <w:b/>
          <w:bCs w:val="0"/>
          <w:spacing w:val="30"/>
          <w:kern w:val="10"/>
          <w:sz w:val="30"/>
          <w:szCs w:val="30"/>
        </w:rPr>
        <w:t>第</w:t>
      </w:r>
      <w:r>
        <w:rPr>
          <w:rFonts w:hint="eastAsia" w:ascii="宋体" w:hAnsi="宋体" w:eastAsia="宋体" w:cs="宋体"/>
          <w:b/>
          <w:bCs w:val="0"/>
          <w:spacing w:val="30"/>
          <w:kern w:val="10"/>
          <w:sz w:val="30"/>
          <w:szCs w:val="30"/>
          <w:lang w:val="en-US" w:eastAsia="zh-CN"/>
        </w:rPr>
        <w:t>5</w:t>
      </w:r>
      <w:r>
        <w:rPr>
          <w:rFonts w:hint="eastAsia" w:ascii="宋体" w:hAnsi="宋体" w:eastAsia="宋体" w:cs="宋体"/>
          <w:b/>
          <w:bCs w:val="0"/>
          <w:spacing w:val="30"/>
          <w:kern w:val="10"/>
          <w:sz w:val="30"/>
          <w:szCs w:val="30"/>
        </w:rPr>
        <w:t>课时</w:t>
      </w:r>
      <w:r>
        <w:rPr>
          <w:rFonts w:hint="eastAsia" w:ascii="宋体" w:hAnsi="宋体" w:eastAsia="宋体" w:cs="宋体"/>
          <w:b/>
          <w:bCs w:val="0"/>
          <w:sz w:val="28"/>
          <w:szCs w:val="28"/>
          <w:lang w:eastAsia="zh-CN"/>
        </w:rPr>
        <w:t>《海底两万里》人物形象分析</w:t>
      </w:r>
    </w:p>
    <w:p>
      <w:pPr>
        <w:keepNext w:val="0"/>
        <w:keepLines w:val="0"/>
        <w:pageBreakBefore w:val="0"/>
        <w:widowControl w:val="0"/>
        <w:tabs>
          <w:tab w:val="left" w:pos="1290"/>
          <w:tab w:val="center" w:pos="4380"/>
        </w:tabs>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读写题</w:t>
      </w:r>
    </w:p>
    <w:bookmarkEnd w:id="0"/>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textAlignment w:val="auto"/>
        <w:outlineLvl w:val="9"/>
        <w:rPr>
          <w:rFonts w:hint="default"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eastAsia="zh-CN"/>
        </w:rPr>
        <w:t>一、阅读材料，回答问题。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楷体" w:hAnsi="楷体" w:eastAsia="楷体"/>
          <w:lang w:eastAsia="zh-CN"/>
        </w:rPr>
      </w:pPr>
      <w:r>
        <w:rPr>
          <w:rFonts w:hint="default" w:ascii="楷体" w:hAnsi="楷体" w:eastAsia="楷体"/>
          <w:lang w:eastAsia="zh-CN"/>
        </w:rPr>
        <w:t>“</w:t>
      </w:r>
      <w:r>
        <w:rPr>
          <w:rFonts w:hint="default" w:ascii="楷体" w:hAnsi="楷体" w:eastAsia="楷体"/>
          <w:lang w:val="en-US" w:eastAsia="zh-CN"/>
        </w:rPr>
        <w:t>我在发狂地工作。我想到了一个好主意，也许可以作为主题。这位陌生人必须跟他离开的人类不发生任何关系。他再不到“陆地”上来，他不把陆地放在眼里。他</w:t>
      </w:r>
      <w:r>
        <w:rPr>
          <w:rFonts w:hint="default" w:ascii="楷体" w:hAnsi="楷体" w:eastAsia="楷体"/>
          <w:lang w:eastAsia="zh-CN"/>
        </w:rPr>
        <w:t>只</w:t>
      </w:r>
      <w:r>
        <w:rPr>
          <w:rFonts w:hint="default" w:ascii="楷体" w:hAnsi="楷体" w:eastAsia="楷体"/>
          <w:lang w:val="en-US" w:eastAsia="zh-CN"/>
        </w:rPr>
        <w:t>需要大海，但大海必须能够向他提供一切，包括“食物”和“衣服”。从不踏上任何一个大陆。所有的大陆和邻近的海岛似乎被一次新的大洪水淹没而消失了，但请您放心，他的方舟比挪亚方舟设备稍为好些。我相信，这种“绝对”的景况将使这部作品显得非常突出。哦，亲爱的赫泽尔，倘使我写不出这部书来，我必然会感到痛苦。我手头上从来没有过这样一个美妙的题材。</w:t>
      </w:r>
      <w:r>
        <w:rPr>
          <w:rFonts w:hint="default" w:ascii="楷体" w:hAnsi="楷体" w:eastAsia="楷体"/>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楷体" w:hAnsi="楷体" w:eastAsia="楷体"/>
        </w:rPr>
      </w:pPr>
      <w:r>
        <w:rPr>
          <w:rFonts w:hint="default" w:ascii="楷体" w:hAnsi="楷体" w:eastAsia="楷体"/>
          <w:lang w:eastAsia="zh-CN"/>
        </w:rPr>
        <w:t xml:space="preserve">                                             </w:t>
      </w:r>
      <w:r>
        <w:rPr>
          <w:rFonts w:hint="eastAsia" w:ascii="楷体" w:hAnsi="楷体" w:eastAsia="楷体"/>
        </w:rPr>
        <w:t>（节选自《</w:t>
      </w:r>
      <w:r>
        <w:rPr>
          <w:rFonts w:hint="default" w:ascii="楷体" w:hAnsi="楷体" w:eastAsia="楷体"/>
        </w:rPr>
        <w:t>凡尔纳传</w:t>
      </w:r>
      <w:r>
        <w:rPr>
          <w:rFonts w:hint="eastAsia" w:ascii="楷体" w:hAnsi="楷体" w:eastAsia="楷体"/>
        </w:rPr>
        <w:t>》）</w:t>
      </w:r>
    </w:p>
    <w:p>
      <w:pPr>
        <w:numPr>
          <w:ilvl w:val="0"/>
          <w:numId w:val="1"/>
        </w:numPr>
        <w:spacing w:line="360" w:lineRule="auto"/>
        <w:rPr>
          <w:rFonts w:hint="default" w:asciiTheme="minorEastAsia" w:hAnsiTheme="minorEastAsia" w:cstheme="minorEastAsia"/>
        </w:rPr>
      </w:pPr>
      <w:r>
        <w:rPr>
          <w:rFonts w:hint="default" w:asciiTheme="minorEastAsia" w:hAnsiTheme="minorEastAsia" w:cstheme="minorEastAsia"/>
        </w:rPr>
        <w:t>材料一</w:t>
      </w:r>
      <w:r>
        <w:rPr>
          <w:rFonts w:hint="eastAsia" w:asciiTheme="minorEastAsia" w:hAnsiTheme="minorEastAsia" w:eastAsiaTheme="minorEastAsia" w:cstheme="minorEastAsia"/>
        </w:rPr>
        <w:t>记载了儒勒·凡尔纳</w:t>
      </w:r>
      <w:r>
        <w:rPr>
          <w:rFonts w:hint="default" w:asciiTheme="minorEastAsia" w:hAnsiTheme="minorEastAsia" w:cstheme="minorEastAsia"/>
        </w:rPr>
        <w:t>构思《海底两万里》时的想法。材料中的“他”是小说中的哪个人物？“他的方舟”在小说中是什么？</w:t>
      </w:r>
    </w:p>
    <w:p>
      <w:pPr>
        <w:numPr>
          <w:ilvl w:val="0"/>
          <w:numId w:val="0"/>
        </w:numPr>
        <w:spacing w:line="360" w:lineRule="auto"/>
        <w:rPr>
          <w:rFonts w:hint="default" w:asciiTheme="minorEastAsia" w:hAnsiTheme="minorEastAsia" w:cstheme="minorEastAsia"/>
        </w:rPr>
      </w:pPr>
      <w:r>
        <w:rPr>
          <w:rFonts w:hint="default" w:asciiTheme="minorEastAsia" w:hAnsiTheme="minorEastAsia" w:cstheme="minorEastAsia"/>
        </w:rPr>
        <w:t>答：__________________________________________________________________</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楷体" w:hAnsi="楷体" w:eastAsia="楷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楷体" w:hAnsi="楷体" w:eastAsia="楷体"/>
          <w:lang w:eastAsia="zh-CN"/>
        </w:rPr>
      </w:pPr>
      <w:r>
        <w:rPr>
          <w:rFonts w:hint="default" w:ascii="楷体" w:hAnsi="楷体" w:eastAsia="楷体"/>
          <w:lang w:eastAsia="zh-CN"/>
        </w:rPr>
        <w:t>鲁迅留日前期在翻译科幻小说的基础上逐渐形成了自身的科幻文学观。……</w:t>
      </w:r>
      <w:r>
        <w:rPr>
          <w:rFonts w:hint="default" w:ascii="楷体" w:hAnsi="楷体" w:eastAsia="楷体"/>
          <w:u w:val="single"/>
          <w:lang w:eastAsia="zh-CN"/>
        </w:rPr>
        <w:t>鲁迅认为处于进化之中的人类有着极大的主观能动性，只要其拥有刚强不挠的精神和勇气，任何困难都可以迎刃而解</w:t>
      </w:r>
      <w:r>
        <w:rPr>
          <w:rFonts w:hint="default" w:ascii="楷体" w:hAnsi="楷体" w:eastAsia="楷体"/>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楷体" w:hAnsi="楷体" w:eastAsia="楷体"/>
          <w:lang w:val="en-US" w:eastAsia="zh-CN"/>
        </w:rPr>
      </w:pPr>
      <w:r>
        <w:rPr>
          <w:rFonts w:hint="default" w:ascii="楷体" w:hAnsi="楷体" w:eastAsia="楷体"/>
          <w:lang w:eastAsia="zh-CN"/>
        </w:rPr>
        <w:t>在写作方式上，鲁迅首先指出科幻小说需要有“比事属词，必洽学理”的科学性，同时他也没有忽略其作为文学作品的文学性，提到科幻小说也要注重人物形象、思想感情的刻画。……科幻文学中包含的“科学”并不仅仅意味着丰富的科学知识，在鲁迅看来，它有着更广泛的意义，它还是一种伦理，一种精神，包含着人对于自身能力、精神、尊严与价值的自觉认识和思考。</w:t>
      </w:r>
      <w:r>
        <w:rPr>
          <w:rFonts w:hint="default" w:ascii="楷体" w:hAnsi="楷体" w:eastAsia="楷体"/>
          <w:lang w:val="en-US" w:eastAsia="zh-CN"/>
        </w:rPr>
        <w:t>“鲁迅希望通过这部小说来证明人的精神力量和认识能力的伟大”。可见鲁迅虽然谈的是科幻文学，但却始终不忘对于人类和社会的思索与关怀。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5160" w:firstLineChars="2150"/>
        <w:textAlignment w:val="auto"/>
        <w:outlineLvl w:val="9"/>
        <w:rPr>
          <w:rFonts w:hint="default" w:ascii="楷体" w:hAnsi="楷体" w:eastAsia="楷体"/>
          <w:lang w:val="en-US" w:eastAsia="zh-CN"/>
        </w:rPr>
      </w:pPr>
      <w:r>
        <w:rPr>
          <w:rFonts w:hint="default" w:ascii="楷体" w:hAnsi="楷体" w:eastAsia="楷体"/>
          <w:lang w:eastAsia="zh-CN"/>
        </w:rPr>
        <w:t>（摘自《鲁迅的科幻文学观》）</w:t>
      </w:r>
    </w:p>
    <w:p>
      <w:pPr>
        <w:numPr>
          <w:ilvl w:val="0"/>
          <w:numId w:val="0"/>
        </w:numPr>
        <w:spacing w:line="360" w:lineRule="auto"/>
        <w:rPr>
          <w:rFonts w:hint="eastAsia" w:asciiTheme="minorEastAsia" w:hAnsiTheme="minorEastAsia" w:cstheme="minorEastAsia"/>
        </w:rPr>
      </w:pPr>
      <w:r>
        <w:rPr>
          <w:rFonts w:hint="default" w:asciiTheme="minorEastAsia" w:hAnsiTheme="minorEastAsia" w:cstheme="minorEastAsia"/>
        </w:rPr>
        <w:t>2.请结合《海底两万里》中的人物形象谈谈你对划线句的理解。</w:t>
      </w:r>
    </w:p>
    <w:p>
      <w:pPr>
        <w:numPr>
          <w:ilvl w:val="0"/>
          <w:numId w:val="0"/>
        </w:numPr>
        <w:spacing w:line="360" w:lineRule="auto"/>
        <w:rPr>
          <w:rFonts w:hint="default" w:asciiTheme="minorEastAsia" w:hAnsiTheme="minorEastAsia" w:cstheme="minorEastAsia"/>
        </w:rPr>
      </w:pPr>
      <w:r>
        <w:rPr>
          <w:rFonts w:hint="default" w:asciiTheme="minorEastAsia" w:hAnsiTheme="minorEastAsia" w:cstheme="minorEastAsia"/>
        </w:rPr>
        <w:t>答：__________________________________________________________________</w:t>
      </w:r>
    </w:p>
    <w:p>
      <w:pPr>
        <w:numPr>
          <w:ilvl w:val="0"/>
          <w:numId w:val="0"/>
        </w:numPr>
        <w:spacing w:line="360" w:lineRule="auto"/>
        <w:rPr>
          <w:rFonts w:hint="default" w:asciiTheme="minorEastAsia" w:hAnsiTheme="minorEastAsia" w:cstheme="minorEastAsia"/>
        </w:rPr>
      </w:pPr>
      <w:r>
        <w:rPr>
          <w:rFonts w:hint="default" w:asciiTheme="minorEastAsia" w:hAnsiTheme="minorEastAsia" w:cstheme="minorEastAsia"/>
        </w:rPr>
        <w:t>_____________________________________________________________________</w:t>
      </w:r>
    </w:p>
    <w:p>
      <w:pPr>
        <w:numPr>
          <w:ilvl w:val="0"/>
          <w:numId w:val="0"/>
        </w:numPr>
        <w:spacing w:line="360" w:lineRule="auto"/>
        <w:rPr>
          <w:rFonts w:hint="default" w:asciiTheme="minorEastAsia" w:hAnsiTheme="minorEastAsia" w:cstheme="minorEastAsia"/>
        </w:rPr>
      </w:pPr>
      <w:r>
        <w:rPr>
          <w:rFonts w:hint="default" w:asciiTheme="minorEastAsia" w:hAnsiTheme="minorEastAsia" w:cstheme="minorEastAsia"/>
        </w:rPr>
        <w:t>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eastAsia="宋体"/>
        </w:rPr>
      </w:pPr>
      <w:r>
        <w:rPr>
          <w:rFonts w:hint="default" w:eastAsia="宋体"/>
        </w:rPr>
        <w:t>二、</w:t>
      </w:r>
      <w:r>
        <w:rPr>
          <w:rFonts w:hint="eastAsia" w:eastAsia="宋体"/>
        </w:rPr>
        <w:t>微写作练习。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eastAsia="宋体"/>
        </w:rPr>
      </w:pPr>
      <w:r>
        <w:rPr>
          <w:rFonts w:hint="default" w:eastAsia="宋体"/>
        </w:rPr>
        <w:t>3.《科幻世界》杂志设</w:t>
      </w:r>
      <w:r>
        <w:rPr>
          <w:rFonts w:hint="eastAsia" w:ascii="宋体" w:hAnsi="宋体" w:eastAsia="宋体" w:cs="宋体"/>
        </w:rPr>
        <w:t>有“品书坊”专栏</w:t>
      </w:r>
      <w:r>
        <w:rPr>
          <w:rFonts w:hint="default" w:eastAsia="宋体"/>
        </w:rPr>
        <w:t>，刊载对科幻作品的评价。请你从人物形象或小说情节的角度，为《海底两万里》写一段书评，向该栏目投稿。</w:t>
      </w:r>
    </w:p>
    <w:tbl>
      <w:tblPr>
        <w:tblStyle w:val="3"/>
        <w:tblpPr w:leftFromText="180" w:rightFromText="180" w:vertAnchor="text" w:horzAnchor="page" w:tblpX="1968" w:tblpY="28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418"/>
        <w:gridCol w:w="416"/>
        <w:gridCol w:w="417"/>
        <w:gridCol w:w="455"/>
        <w:gridCol w:w="455"/>
        <w:gridCol w:w="456"/>
        <w:gridCol w:w="420"/>
        <w:gridCol w:w="421"/>
        <w:gridCol w:w="421"/>
        <w:gridCol w:w="421"/>
        <w:gridCol w:w="422"/>
        <w:gridCol w:w="422"/>
        <w:gridCol w:w="422"/>
        <w:gridCol w:w="422"/>
        <w:gridCol w:w="422"/>
        <w:gridCol w:w="422"/>
        <w:gridCol w:w="422"/>
        <w:gridCol w:w="431"/>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vAlign w:val="center"/>
          </w:tcPr>
          <w:p>
            <w:pPr>
              <w:spacing w:line="0" w:lineRule="atLeast"/>
              <w:jc w:val="center"/>
              <w:rPr>
                <w:rFonts w:ascii="宋体" w:hAnsi="宋体"/>
                <w:szCs w:val="21"/>
              </w:rPr>
            </w:pPr>
          </w:p>
        </w:tc>
        <w:tc>
          <w:tcPr>
            <w:tcW w:w="455" w:type="dxa"/>
            <w:vAlign w:val="center"/>
          </w:tcPr>
          <w:p>
            <w:pPr>
              <w:spacing w:line="0" w:lineRule="atLeast"/>
              <w:jc w:val="center"/>
              <w:rPr>
                <w:rFonts w:ascii="宋体" w:hAnsi="宋体"/>
                <w:szCs w:val="21"/>
              </w:rPr>
            </w:pPr>
          </w:p>
        </w:tc>
        <w:tc>
          <w:tcPr>
            <w:tcW w:w="456" w:type="dxa"/>
            <w:vAlign w:val="center"/>
          </w:tcPr>
          <w:p>
            <w:pPr>
              <w:spacing w:line="0" w:lineRule="atLeast"/>
              <w:jc w:val="center"/>
              <w:rPr>
                <w:rFonts w:ascii="宋体" w:hAnsi="宋体"/>
                <w:szCs w:val="21"/>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20"/>
          </w:tcPr>
          <w:p>
            <w:pPr>
              <w:spacing w:line="0" w:lineRule="atLeast"/>
              <w:jc w:val="right"/>
              <w:rPr>
                <w:rFonts w:ascii="宋体" w:hAnsi="宋体"/>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tcPr>
          <w:p>
            <w:pPr>
              <w:spacing w:line="0" w:lineRule="atLeast"/>
              <w:rPr>
                <w:rFonts w:ascii="宋体" w:hAnsi="宋体"/>
                <w:sz w:val="28"/>
                <w:szCs w:val="28"/>
              </w:rPr>
            </w:pPr>
          </w:p>
        </w:tc>
        <w:tc>
          <w:tcPr>
            <w:tcW w:w="418" w:type="dxa"/>
          </w:tcPr>
          <w:p>
            <w:pPr>
              <w:spacing w:line="0" w:lineRule="atLeast"/>
              <w:rPr>
                <w:rFonts w:ascii="宋体" w:hAnsi="宋体"/>
                <w:sz w:val="28"/>
                <w:szCs w:val="28"/>
              </w:rPr>
            </w:pPr>
          </w:p>
        </w:tc>
        <w:tc>
          <w:tcPr>
            <w:tcW w:w="416" w:type="dxa"/>
          </w:tcPr>
          <w:p>
            <w:pPr>
              <w:spacing w:line="0" w:lineRule="atLeast"/>
              <w:rPr>
                <w:rFonts w:ascii="宋体" w:hAnsi="宋体"/>
                <w:sz w:val="28"/>
                <w:szCs w:val="28"/>
              </w:rPr>
            </w:pPr>
          </w:p>
        </w:tc>
        <w:tc>
          <w:tcPr>
            <w:tcW w:w="417"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5" w:type="dxa"/>
          </w:tcPr>
          <w:p>
            <w:pPr>
              <w:spacing w:line="0" w:lineRule="atLeast"/>
              <w:rPr>
                <w:rFonts w:ascii="宋体" w:hAnsi="宋体"/>
                <w:sz w:val="28"/>
                <w:szCs w:val="28"/>
              </w:rPr>
            </w:pPr>
          </w:p>
        </w:tc>
        <w:tc>
          <w:tcPr>
            <w:tcW w:w="456" w:type="dxa"/>
          </w:tcPr>
          <w:p>
            <w:pPr>
              <w:spacing w:line="0" w:lineRule="atLeast"/>
              <w:rPr>
                <w:rFonts w:ascii="宋体" w:hAnsi="宋体"/>
                <w:sz w:val="28"/>
                <w:szCs w:val="28"/>
              </w:rPr>
            </w:pPr>
          </w:p>
        </w:tc>
        <w:tc>
          <w:tcPr>
            <w:tcW w:w="420"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1"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22" w:type="dxa"/>
          </w:tcPr>
          <w:p>
            <w:pPr>
              <w:spacing w:line="0" w:lineRule="atLeast"/>
              <w:rPr>
                <w:rFonts w:ascii="宋体" w:hAnsi="宋体"/>
                <w:sz w:val="28"/>
                <w:szCs w:val="28"/>
              </w:rPr>
            </w:pPr>
          </w:p>
        </w:tc>
        <w:tc>
          <w:tcPr>
            <w:tcW w:w="431" w:type="dxa"/>
          </w:tcPr>
          <w:p>
            <w:pPr>
              <w:spacing w:line="0" w:lineRule="atLeast"/>
              <w:rPr>
                <w:rFonts w:ascii="宋体" w:hAnsi="宋体"/>
                <w:sz w:val="28"/>
                <w:szCs w:val="28"/>
              </w:rPr>
            </w:pPr>
          </w:p>
        </w:tc>
        <w:tc>
          <w:tcPr>
            <w:tcW w:w="426" w:type="dxa"/>
          </w:tcPr>
          <w:p>
            <w:pPr>
              <w:spacing w:line="0" w:lineRule="atLeast"/>
              <w:rPr>
                <w:rFonts w:ascii="宋体" w:hAnsi="宋体"/>
                <w:sz w:val="28"/>
                <w:szCs w:val="28"/>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E8DF5"/>
    <w:multiLevelType w:val="singleLevel"/>
    <w:tmpl w:val="5E3E8D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B74251"/>
    <w:rsid w:val="46A82574"/>
    <w:rsid w:val="6CF70CFF"/>
    <w:rsid w:val="7DBBEA49"/>
    <w:rsid w:val="7ECCB5AC"/>
    <w:rsid w:val="7EDFBD7B"/>
    <w:rsid w:val="7F7E09A9"/>
    <w:rsid w:val="7FBDFD3E"/>
    <w:rsid w:val="81CB7FB2"/>
    <w:rsid w:val="B7545925"/>
    <w:rsid w:val="D7CB801F"/>
    <w:rsid w:val="DDFE7CE4"/>
    <w:rsid w:val="EBD757E1"/>
    <w:rsid w:val="EFFEA327"/>
    <w:rsid w:val="F8B74251"/>
    <w:rsid w:val="F9FBC4A8"/>
    <w:rsid w:val="F9FECD8D"/>
    <w:rsid w:val="FDFBB254"/>
    <w:rsid w:val="FDFE41D7"/>
    <w:rsid w:val="FFBCBDF0"/>
    <w:rsid w:val="FFFE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oem-detail-main-text"/>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2020-02-08T09:42:00Z</dcterms:created>
  <dc:creator>Felicity</dc:creator>
  <cp:lastModifiedBy>大白</cp:lastModifiedBy>
  <dcterms:modified xsi:type="dcterms:W3CDTF">2020-02-10T15:23:19Z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