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高二年级历史第4课时《春秋战国时期的政治B》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秦朝推行的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二十等爵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sz w:val="24"/>
          <w:szCs w:val="24"/>
        </w:rPr>
        <w:t>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始创于商鞅变法时为奖励军功所设立的军功爵制。汉承秦制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继续沿用“二十等爵”制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但根据实际情况有所调整。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曹魏末年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专权的晋王司马昭为取代曹魏政权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，“</w:t>
      </w:r>
      <w:r>
        <w:rPr>
          <w:rFonts w:hint="eastAsia" w:ascii="楷体" w:hAnsi="楷体" w:eastAsia="楷体" w:cs="楷体"/>
          <w:sz w:val="24"/>
          <w:szCs w:val="24"/>
        </w:rPr>
        <w:t>深览经远之统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思复先哲之轨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分土画疆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建爵五等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或以进德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或以酬功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sz w:val="24"/>
          <w:szCs w:val="24"/>
        </w:rPr>
        <w:t>。此次改革仿照《周礼》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设公、侯、伯、子、男五个等级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把爵位封授给支持司马氏的群臣。受封者获得民户数量不等的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封邑”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爵位由子孙承袭。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自骑督已上六百余人皆封。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sz w:val="24"/>
          <w:szCs w:val="24"/>
        </w:rPr>
        <w:t>由此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面向文武官员的“五等爵”制确立。通过五等爵分封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司马昭对曹魏朝廷中的大臣进行了一次比较彻底的区分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将那些倾向于司马氏的大臣与其他曹魏大臣明确区别开来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成为司马氏建立晋朝的前奏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——摘编自杨光辉《汉唐封爵制度》等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请回答：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根据材料并结合所学知识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分别说明秦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二十等爵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制和曹魏末年“五等爵”制所反映的思想流派。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根据材料并结合所学知识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分别概括秦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二十等爵”和曹魏末年“五等爵”的授予对象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并简析两种爵位制的各自作用。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842A8"/>
    <w:rsid w:val="38F757BC"/>
    <w:rsid w:val="390842A8"/>
    <w:rsid w:val="54D36CEF"/>
    <w:rsid w:val="665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NEU-BZ" w:eastAsia="宋体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2020-02-06T04:52:00Z</dcterms:created>
  <dc:creator>徐海滨</dc:creator>
  <cp:lastModifiedBy>徐海滨</cp:lastModifiedBy>
  <dcterms:modified xsi:type="dcterms:W3CDTF">2020-02-11T03:41:46Z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