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高二年级历史第6课时《春秋战国时期的文化A》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拓展提升任务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阅读材料，回答问题。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材料一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君者，民之源也，源清则流清，源浊则流浊。故有社稷者而不能爱民，不能利民，而求民之亲爱己，不可得也。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有先秦思想家认为，“君上之于民也，有难则用其死，安平则尽其力”。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“视人之国，若视其国；视人之家，若视其家；视人之身，若视其身。”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材料二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儒者博而寡要，劳而少功，是以其事难尽从；然其序君臣父子之礼，列夫妇长幼之别，不可易也。墨者俭而难遵，是以其事不可遍循；然其强本节用；不可废也。法家严而少恩；然其正君臣上下之分，不可改矣。</w:t>
      </w:r>
    </w:p>
    <w:p>
      <w:pPr>
        <w:spacing w:line="360" w:lineRule="auto"/>
        <w:jc w:val="right"/>
        <w:rPr>
          <w:rFonts w:hint="eastAsia" w:ascii="楷体" w:hAnsi="楷体" w:eastAsia="楷体" w:cs="楷体"/>
          <w:sz w:val="24"/>
          <w:szCs w:val="24"/>
        </w:rPr>
      </w:pP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</w:rPr>
        <w:t>——《史记·太史公自序》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请回答：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（1）有学者认为，百家争鸣是春秋战国时期时代潮流发展的产物，结合史料和所学知识，指出这一时期的时代潮流是什么？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（2）依据上述史料并结合所学知识，归纳诸子百家中相互对立的观点。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C6129"/>
    <w:rsid w:val="001B73C6"/>
    <w:rsid w:val="00653557"/>
    <w:rsid w:val="00A42FF4"/>
    <w:rsid w:val="00CE1EF1"/>
    <w:rsid w:val="00CE7682"/>
    <w:rsid w:val="0BC307C5"/>
    <w:rsid w:val="15D100F9"/>
    <w:rsid w:val="308C6129"/>
    <w:rsid w:val="698A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纯文本 Char"/>
    <w:basedOn w:val="6"/>
    <w:link w:val="2"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6</TotalTime>
  <ScaleCrop>false</ScaleCrop>
  <LinksUpToDate>false</LinksUpToDate>
  <CharactersWithSpaces>367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2020-02-05T04:22:00Z</dcterms:created>
  <dc:creator>徐海滨</dc:creator>
  <cp:lastModifiedBy>徐海滨</cp:lastModifiedBy>
  <dcterms:modified xsi:type="dcterms:W3CDTF">2020-02-11T03:34:17Z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