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sz w:val="28"/>
          <w:szCs w:val="24"/>
        </w:rPr>
      </w:pPr>
      <w:r>
        <w:rPr>
          <w:rFonts w:hint="default" w:ascii="黑体" w:hAnsi="黑体" w:eastAsia="黑体" w:cs="黑体"/>
          <w:b/>
          <w:sz w:val="28"/>
          <w:szCs w:val="28"/>
        </w:rPr>
        <w:t>九年级语文第</w:t>
      </w:r>
      <w:r>
        <w:rPr>
          <w:rFonts w:hint="default" w:ascii="黑体" w:hAnsi="黑体" w:eastAsia="黑体" w:cs="黑体"/>
          <w:b/>
          <w:sz w:val="28"/>
          <w:szCs w:val="28"/>
        </w:rPr>
        <w:t>10</w:t>
      </w:r>
      <w:bookmarkStart w:id="0" w:name="_GoBack"/>
      <w:bookmarkEnd w:id="0"/>
      <w:r>
        <w:rPr>
          <w:rFonts w:hint="default" w:ascii="黑体" w:hAnsi="黑体" w:eastAsia="黑体" w:cs="黑体"/>
          <w:b/>
          <w:sz w:val="28"/>
          <w:szCs w:val="28"/>
        </w:rPr>
        <w:t>课时《说明文中的层次划分》</w:t>
      </w:r>
      <w:r>
        <w:rPr>
          <w:rFonts w:hint="default" w:ascii="黑体" w:hAnsi="黑体" w:eastAsia="黑体" w:cs="黑体"/>
          <w:b/>
          <w:sz w:val="28"/>
          <w:szCs w:val="24"/>
        </w:rPr>
        <w:t>课时作业</w:t>
      </w:r>
    </w:p>
    <w:p>
      <w:pPr>
        <w:adjustRightInd w:val="0"/>
        <w:snapToGrid w:val="0"/>
        <w:spacing w:line="300" w:lineRule="auto"/>
        <w:rPr>
          <w:rFonts w:hint="eastAsia"/>
          <w:color w:val="000000" w:themeColor="text1"/>
          <w14:textFill>
            <w14:solidFill>
              <w14:schemeClr w14:val="tx1"/>
            </w14:solidFill>
          </w14:textFill>
        </w:rPr>
      </w:pPr>
    </w:p>
    <w:p>
      <w:pPr>
        <w:numPr>
          <w:ilvl w:val="0"/>
          <w:numId w:val="0"/>
        </w:numPr>
        <w:adjustRightInd w:val="0"/>
        <w:snapToGrid w:val="0"/>
        <w:spacing w:line="360" w:lineRule="auto"/>
        <w:jc w:val="left"/>
        <w:rPr>
          <w:rFonts w:ascii="Times New Roman" w:hAnsi="Times New Roman" w:eastAsia="宋体" w:cs="Times New Roman"/>
        </w:rPr>
      </w:pPr>
      <w:r>
        <w:rPr>
          <w:rFonts w:cs="Times New Roman"/>
        </w:rPr>
        <w:t>一、</w:t>
      </w:r>
      <w:r>
        <w:rPr>
          <w:rFonts w:ascii="Times New Roman" w:hAnsi="Times New Roman" w:eastAsia="宋体" w:cs="Times New Roman"/>
        </w:rPr>
        <w:t>阅读下面文段，圈画要点，概括句子内容，划分层次。</w:t>
      </w:r>
    </w:p>
    <w:p>
      <w:pPr>
        <w:tabs>
          <w:tab w:val="left" w:pos="2535"/>
        </w:tabs>
        <w:spacing w:line="390" w:lineRule="exact"/>
        <w:ind w:leftChars="100" w:firstLine="420" w:firstLineChars="200"/>
        <w:rPr>
          <w:rFonts w:hint="default" w:ascii="楷体_GB2312" w:hAnsi="宋体" w:eastAsia="楷体_GB2312"/>
          <w:szCs w:val="21"/>
        </w:rPr>
      </w:pPr>
      <w:r>
        <w:rPr>
          <w:rFonts w:hint="default" w:ascii="楷体_GB2312" w:hAnsi="宋体" w:eastAsia="楷体_GB2312"/>
          <w:szCs w:val="21"/>
        </w:rPr>
        <w:t>①苏州园林里都有假山和池沼。②假山的堆叠，可以说是一项艺术而不仅是技术。③或者是重峦叠嶂，或者是几座小山配合着竹子花木，全在乎设计者和匠师们生平多阅历，胸中有丘壑，才能使游览者攀登的时候忘却苏州城市，只觉得身在山间。④至于池沼，大多引用活水。⑤有些园林池沼宽敞，就把池沼作为全园的中心，其他景物配合着布置。⑥水面假如成河道模样，往往安排桥梁。⑦假如安排两座以上的桥梁，那就一座一个样，决不雷同。⑧池沼或河道的边沿很少砌齐整的石岸，总是高低屈曲任其自然。⑨还在那儿布置几块玲珑的石头，或者种些花草：这也是为了取得从各个角度看都成一幅画的效果。⑩池沼里养着金鱼或各色鲤鱼，夏秋季节荷花或睡莲开放，游览者看“鱼戏莲叶间”，又是入画的一景。</w:t>
      </w:r>
    </w:p>
    <w:p>
      <w:pPr>
        <w:tabs>
          <w:tab w:val="left" w:pos="2535"/>
        </w:tabs>
        <w:spacing w:line="390" w:lineRule="exact"/>
        <w:ind w:leftChars="100" w:firstLine="420" w:firstLineChars="200"/>
        <w:rPr>
          <w:rFonts w:hint="default" w:ascii="楷体_GB2312" w:hAnsi="宋体" w:eastAsia="楷体_GB2312"/>
          <w:szCs w:val="21"/>
        </w:rPr>
      </w:pPr>
    </w:p>
    <w:p>
      <w:pPr>
        <w:numPr>
          <w:ilvl w:val="0"/>
          <w:numId w:val="1"/>
        </w:numPr>
        <w:adjustRightInd w:val="0"/>
        <w:snapToGrid w:val="0"/>
        <w:spacing w:line="360" w:lineRule="auto"/>
        <w:ind w:left="0" w:leftChars="0" w:firstLine="420" w:firstLineChars="200"/>
        <w:jc w:val="left"/>
        <w:rPr>
          <w:rFonts w:ascii="宋体" w:hAnsi="宋体" w:eastAsia="宋体"/>
        </w:rPr>
      </w:pPr>
      <w:r>
        <w:rPr>
          <w:rFonts w:ascii="宋体" w:hAnsi="宋体" w:eastAsia="宋体"/>
        </w:rPr>
        <w:t xml:space="preserve">用“/”划分段落整体的层次  </w:t>
      </w:r>
      <w:r>
        <w:rPr>
          <w:rFonts w:ascii="宋体" w:hAnsi="宋体"/>
        </w:rPr>
        <w:t xml:space="preserve"> </w:t>
      </w:r>
      <w:r>
        <w:rPr>
          <w:rFonts w:ascii="宋体" w:hAnsi="宋体" w:eastAsia="宋体"/>
        </w:rPr>
        <w:t>①  ②  ③  ④  ⑤  ⑥  ⑦</w:t>
      </w:r>
      <w:r>
        <w:rPr>
          <w:rFonts w:ascii="宋体" w:hAnsi="宋体"/>
        </w:rPr>
        <w:t xml:space="preserve">  ⑧  ⑨  </w:t>
      </w:r>
      <w:r>
        <w:rPr>
          <w:rFonts w:hint="default" w:ascii="楷体_GB2312" w:hAnsi="宋体" w:eastAsia="楷体_GB2312"/>
          <w:szCs w:val="21"/>
        </w:rPr>
        <w:t>⑩</w:t>
      </w:r>
    </w:p>
    <w:p>
      <w:pPr>
        <w:numPr>
          <w:ilvl w:val="0"/>
          <w:numId w:val="1"/>
        </w:numPr>
        <w:adjustRightInd w:val="0"/>
        <w:snapToGrid w:val="0"/>
        <w:spacing w:line="360" w:lineRule="auto"/>
        <w:ind w:left="0" w:leftChars="0" w:firstLine="420" w:firstLineChars="200"/>
        <w:jc w:val="left"/>
        <w:rPr>
          <w:rFonts w:ascii="宋体" w:hAnsi="宋体" w:eastAsia="宋体"/>
        </w:rPr>
      </w:pPr>
      <w:r>
        <w:rPr>
          <w:rFonts w:ascii="宋体" w:hAnsi="宋体" w:eastAsia="宋体"/>
        </w:rPr>
        <w:t xml:space="preserve">用“//”进一步细分层次     </w:t>
      </w:r>
      <w:r>
        <w:rPr>
          <w:rFonts w:ascii="宋体" w:hAnsi="宋体"/>
        </w:rPr>
        <w:t xml:space="preserve"> </w:t>
      </w:r>
      <w:r>
        <w:rPr>
          <w:rFonts w:ascii="宋体" w:hAnsi="宋体" w:eastAsia="宋体"/>
        </w:rPr>
        <w:t>①  ②  ③  ④  ⑤  ⑥  ⑦</w:t>
      </w:r>
      <w:r>
        <w:rPr>
          <w:rFonts w:ascii="宋体" w:hAnsi="宋体"/>
        </w:rPr>
        <w:t xml:space="preserve">  ⑧  ⑨  </w:t>
      </w:r>
      <w:r>
        <w:rPr>
          <w:rFonts w:hint="default" w:ascii="楷体_GB2312" w:hAnsi="宋体" w:eastAsia="楷体_GB2312"/>
          <w:szCs w:val="21"/>
        </w:rPr>
        <w:t>⑩</w:t>
      </w:r>
    </w:p>
    <w:p>
      <w:pPr>
        <w:tabs>
          <w:tab w:val="left" w:pos="2535"/>
        </w:tabs>
        <w:spacing w:line="390" w:lineRule="exact"/>
        <w:ind w:leftChars="100" w:firstLine="420" w:firstLineChars="200"/>
        <w:rPr>
          <w:rFonts w:hint="eastAsia" w:ascii="楷体_GB2312" w:hAnsi="宋体" w:eastAsia="楷体_GB2312"/>
          <w:szCs w:val="21"/>
        </w:rPr>
      </w:pPr>
    </w:p>
    <w:p>
      <w:pPr>
        <w:widowControl w:val="0"/>
        <w:numPr>
          <w:ilvl w:val="0"/>
          <w:numId w:val="0"/>
        </w:numPr>
        <w:adjustRightInd w:val="0"/>
        <w:snapToGrid w:val="0"/>
        <w:spacing w:line="300" w:lineRule="auto"/>
        <w:jc w:val="both"/>
        <w:rPr>
          <w:rFonts w:hint="eastAsia" w:ascii="楷体_GB2312" w:hAnsi="宋体" w:eastAsia="楷体_GB2312"/>
          <w:szCs w:val="21"/>
        </w:rPr>
      </w:pPr>
      <w:r>
        <w:rPr>
          <w:rFonts w:cs="Times New Roman"/>
        </w:rPr>
        <w:t>二、</w:t>
      </w:r>
      <w:r>
        <w:rPr>
          <w:rFonts w:ascii="Times New Roman" w:hAnsi="Times New Roman" w:eastAsia="宋体" w:cs="Times New Roman"/>
        </w:rPr>
        <w:t>阅读下面文章，圈画要点，概括段落内容，划分层次。</w:t>
      </w:r>
    </w:p>
    <w:p>
      <w:pPr>
        <w:pStyle w:val="3"/>
        <w:spacing w:line="400" w:lineRule="exact"/>
        <w:ind w:firstLine="420" w:firstLineChars="200"/>
        <w:rPr>
          <w:rFonts w:hint="eastAsia" w:ascii="楷体_GB2312" w:eastAsia="楷体_GB2312" w:cs="arial"/>
          <w:sz w:val="21"/>
          <w:szCs w:val="21"/>
          <w:bdr w:val="single" w:color="auto" w:sz="4" w:space="0"/>
        </w:rPr>
      </w:pPr>
      <w:r>
        <w:rPr>
          <w:rFonts w:hint="eastAsia" w:ascii="楷体_GB2312" w:eastAsia="楷体_GB2312" w:cs="arial"/>
          <w:sz w:val="21"/>
          <w:szCs w:val="21"/>
        </w:rPr>
        <w:t>①2011年3月11日，日本发生了里氏9.0级大地震。地震导致福岛核电站核物质泄漏，这起核泄漏事件引发了人们对核辐射的极度恐慌。核辐射对人类有着怎样的影响，人们又应该怎样认识它呢？</w:t>
      </w:r>
    </w:p>
    <w:p>
      <w:pPr>
        <w:spacing w:line="400" w:lineRule="exact"/>
        <w:ind w:firstLine="420" w:firstLineChars="200"/>
        <w:rPr>
          <w:rFonts w:hint="eastAsia" w:ascii="楷体_GB2312" w:hAnsi="宋体" w:eastAsia="楷体_GB2312" w:cs="arial"/>
          <w:szCs w:val="21"/>
        </w:rPr>
      </w:pPr>
      <w:r>
        <w:rPr>
          <w:rFonts w:hint="eastAsia" w:ascii="楷体_GB2312" w:eastAsia="楷体_GB2312" w:cs="arial"/>
          <w:szCs w:val="21"/>
        </w:rPr>
        <w:t>②核辐射是指放射性物质以波或微粒形式发射出的一种能量，也称为放射性，指的是</w:t>
      </w:r>
      <w:r>
        <w:rPr>
          <w:rFonts w:hint="eastAsia" w:ascii="楷体_GB2312" w:hAnsi="宋体" w:eastAsia="楷体_GB2312" w:cs="arial"/>
          <w:szCs w:val="21"/>
        </w:rPr>
        <w:t>α、β、γ、X等放射线这一类辐射。</w:t>
      </w:r>
    </w:p>
    <w:p>
      <w:pPr>
        <w:spacing w:line="400" w:lineRule="exact"/>
        <w:ind w:firstLine="420" w:firstLineChars="200"/>
        <w:rPr>
          <w:rFonts w:hint="eastAsia" w:ascii="楷体_GB2312" w:eastAsia="楷体_GB2312" w:cs="arial"/>
          <w:szCs w:val="21"/>
        </w:rPr>
      </w:pPr>
      <w:r>
        <w:rPr>
          <w:rFonts w:hint="eastAsia" w:ascii="楷体_GB2312" w:eastAsia="楷体_GB2312" w:cs="arial"/>
          <w:szCs w:val="21"/>
        </w:rPr>
        <w:t>③在发生核泄漏时，放射性物质可通过呼吸吸入，也可通过皮肤、伤口及消化道吸收进入人体内，引起内照射伤害；在各类辐射中，</w:t>
      </w:r>
      <w:r>
        <w:rPr>
          <w:rFonts w:hint="eastAsia" w:ascii="楷体_GB2312" w:hAnsi="宋体" w:eastAsia="楷体_GB2312" w:cs="arial"/>
          <w:szCs w:val="21"/>
        </w:rPr>
        <w:t>γ射线</w:t>
      </w:r>
      <w:r>
        <w:rPr>
          <w:rFonts w:hint="eastAsia" w:ascii="楷体_GB2312" w:eastAsia="楷体_GB2312" w:cs="arial"/>
          <w:szCs w:val="21"/>
        </w:rPr>
        <w:t>具有很强的穿透能力，会使人受到外照射伤害。人体在遭受辐射后，由于照射剂量和时间长短不同，会出现不同程度的损伤，最大的风险是增加癌症、白血病、畸变、遗传性疾病的患病率，甚至影响几代人的健康。最典型的例子是切尔诺贝利核电站的核泄漏事故</w:t>
      </w:r>
      <w:r>
        <w:rPr>
          <w:rFonts w:hint="eastAsia" w:ascii="楷体_GB2312" w:eastAsia="楷体_GB2312" w:cs="arial"/>
          <w:szCs w:val="21"/>
          <w:vertAlign w:val="superscript"/>
        </w:rPr>
        <w:t>①</w:t>
      </w:r>
      <w:r>
        <w:rPr>
          <w:rFonts w:hint="eastAsia" w:ascii="楷体_GB2312" w:eastAsia="楷体_GB2312" w:cs="arial"/>
          <w:szCs w:val="21"/>
        </w:rPr>
        <w:t>。当时，由于风向的关系，估计约有60%的放射性物质落在白俄罗斯的土地上，经研究发现，白俄罗斯的小孩患甲状腺癌的比例快速增加。</w:t>
      </w:r>
    </w:p>
    <w:p>
      <w:pPr>
        <w:spacing w:line="400" w:lineRule="exact"/>
        <w:ind w:firstLine="420" w:firstLineChars="200"/>
        <w:rPr>
          <w:rFonts w:hint="eastAsia" w:ascii="楷体_GB2312" w:eastAsia="楷体_GB2312"/>
          <w:szCs w:val="21"/>
        </w:rPr>
      </w:pPr>
      <w:r>
        <w:rPr>
          <w:rFonts w:hint="eastAsia" w:ascii="楷体_GB2312" w:eastAsia="楷体_GB2312"/>
          <w:szCs w:val="21"/>
        </w:rPr>
        <w:t>④由此看来，核辐射对人类有着极大的危害</w:t>
      </w:r>
      <w:r>
        <w:rPr>
          <w:rFonts w:hint="eastAsia" w:ascii="楷体_GB2312" w:eastAsia="楷体_GB2312"/>
          <w:szCs w:val="21"/>
          <w:u w:val="none"/>
        </w:rPr>
        <w:t>，然而</w:t>
      </w:r>
      <w:r>
        <w:rPr>
          <w:rFonts w:hint="eastAsia" w:ascii="楷体_GB2312" w:hAnsi="宋体" w:eastAsia="楷体_GB2312"/>
          <w:szCs w:val="21"/>
          <w:u w:val="none"/>
        </w:rPr>
        <w:t>只有过量的核辐射才会对人体造成伤害，而少量的核辐射不会危及人类的健康，合理使用</w:t>
      </w:r>
      <w:r>
        <w:rPr>
          <w:rFonts w:hint="eastAsia" w:ascii="楷体_GB2312" w:hAnsi="宋体" w:eastAsia="楷体_GB2312"/>
          <w:szCs w:val="21"/>
        </w:rPr>
        <w:t>还可以</w:t>
      </w:r>
      <w:r>
        <w:rPr>
          <w:rFonts w:hint="eastAsia" w:ascii="楷体_GB2312" w:eastAsia="楷体_GB2312"/>
          <w:szCs w:val="21"/>
        </w:rPr>
        <w:t>造福人类。</w:t>
      </w:r>
    </w:p>
    <w:p>
      <w:pPr>
        <w:widowControl/>
        <w:shd w:val="clear" w:color="auto" w:fill="FFFFFF"/>
        <w:spacing w:line="400" w:lineRule="exact"/>
        <w:ind w:firstLine="420" w:firstLineChars="200"/>
        <w:rPr>
          <w:rFonts w:hint="eastAsia" w:ascii="楷体_GB2312" w:eastAsia="楷体_GB2312"/>
          <w:szCs w:val="21"/>
        </w:rPr>
      </w:pPr>
      <w:r>
        <w:rPr>
          <w:rFonts w:hint="eastAsia" w:ascii="楷体_GB2312" w:eastAsia="楷体_GB2312"/>
        </w:rPr>
        <w:t>⑤现在，核</w:t>
      </w:r>
      <w:r>
        <w:rPr>
          <w:rFonts w:hint="eastAsia" w:ascii="楷体_GB2312" w:hAnsi="arial" w:eastAsia="楷体_GB2312" w:cs="arial"/>
        </w:rPr>
        <w:t>辐射</w:t>
      </w:r>
      <w:r>
        <w:rPr>
          <w:rFonts w:hint="eastAsia" w:ascii="楷体_GB2312" w:eastAsia="楷体_GB2312"/>
        </w:rPr>
        <w:t>技术已经得到了广泛的应用。例如，在医疗上，治疗恶性肿瘤的重要方法之一就是利用放射线进行治疗，即用射线直接照射肿瘤部位，杀死癌细胞。在生活中，许多食品利用辐射照射来进行保鲜，即通过一定剂量的辐射照射，杀死寄生在食品表面及内部的微生物和害虫达到保鲜目的。由于辐射照射</w:t>
      </w:r>
      <w:r>
        <w:rPr>
          <w:rFonts w:hint="eastAsia" w:ascii="楷体_GB2312" w:hAnsi="宋体" w:eastAsia="楷体_GB2312" w:cs="宋体"/>
          <w:kern w:val="0"/>
        </w:rPr>
        <w:t>食品时，食品仅仅受到放射源产生的γ射线的照射，不直接接触放射源，所以食品不会受到污染。此外，这种技术也不会污染环境。</w:t>
      </w:r>
      <w:r>
        <w:rPr>
          <w:rFonts w:hint="eastAsia" w:ascii="楷体_GB2312" w:eastAsia="楷体_GB2312"/>
        </w:rPr>
        <w:t>在世界卫生组织制定的确保食品安全的重点推广计划中，辐照技术作为一项绿色加工技术已被列入其中。</w:t>
      </w:r>
    </w:p>
    <w:p>
      <w:pPr>
        <w:spacing w:line="400" w:lineRule="exact"/>
        <w:ind w:firstLine="420" w:firstLineChars="200"/>
        <w:rPr>
          <w:rFonts w:hint="eastAsia" w:ascii="楷体_GB2312" w:hAnsi="宋体" w:eastAsia="楷体_GB2312"/>
          <w:szCs w:val="21"/>
        </w:rPr>
      </w:pPr>
      <w:r>
        <w:rPr>
          <w:rFonts w:hint="eastAsia" w:ascii="楷体_GB2312" w:hAnsi="宋体" w:eastAsia="楷体_GB2312"/>
          <w:szCs w:val="21"/>
        </w:rPr>
        <w:t>⑥人们在对核辐射有了一定的了解之后，就会科学地看待</w:t>
      </w:r>
      <w:r>
        <w:rPr>
          <w:rFonts w:hint="eastAsia" w:ascii="楷体_GB2312" w:eastAsia="楷体_GB2312"/>
          <w:szCs w:val="21"/>
        </w:rPr>
        <w:t>它</w:t>
      </w:r>
      <w:r>
        <w:rPr>
          <w:rFonts w:hint="eastAsia" w:ascii="楷体_GB2312" w:hAnsi="arial" w:eastAsia="楷体_GB2312" w:cs="arial"/>
          <w:kern w:val="0"/>
          <w:szCs w:val="21"/>
        </w:rPr>
        <w:t>，应用它，而不会一说到核辐射就</w:t>
      </w:r>
      <w:r>
        <w:rPr>
          <w:rFonts w:hint="eastAsia" w:ascii="楷体_GB2312" w:hAnsi="宋体" w:eastAsia="楷体_GB2312"/>
          <w:szCs w:val="21"/>
        </w:rPr>
        <w:t>惊恐万分，谈“核”色变。</w:t>
      </w:r>
    </w:p>
    <w:p>
      <w:pPr>
        <w:spacing w:line="400" w:lineRule="exact"/>
        <w:ind w:firstLine="420" w:firstLineChars="200"/>
        <w:rPr>
          <w:rFonts w:hint="eastAsia" w:ascii="楷体_GB2312" w:hAnsi="宋体" w:eastAsia="楷体_GB2312"/>
          <w:szCs w:val="21"/>
        </w:rPr>
      </w:pPr>
    </w:p>
    <w:p>
      <w:pPr>
        <w:numPr>
          <w:ilvl w:val="0"/>
          <w:numId w:val="2"/>
        </w:numPr>
        <w:adjustRightInd w:val="0"/>
        <w:snapToGrid w:val="0"/>
        <w:spacing w:line="360" w:lineRule="auto"/>
        <w:ind w:leftChars="0" w:firstLine="525" w:firstLineChars="250"/>
        <w:jc w:val="left"/>
        <w:rPr>
          <w:rFonts w:hint="default" w:ascii="宋体" w:hAnsi="宋体" w:cs="宋体"/>
          <w:bCs/>
          <w:szCs w:val="21"/>
        </w:rPr>
      </w:pPr>
      <w:r>
        <w:rPr>
          <w:rFonts w:ascii="宋体" w:hAnsi="宋体" w:eastAsia="宋体"/>
        </w:rPr>
        <w:t xml:space="preserve">用“/”划分文章整体的层次   ①   ②   ③   ④   ⑤   ⑥   </w:t>
      </w:r>
    </w:p>
    <w:p>
      <w:pPr>
        <w:numPr>
          <w:ilvl w:val="0"/>
          <w:numId w:val="2"/>
        </w:numPr>
        <w:adjustRightInd w:val="0"/>
        <w:snapToGrid w:val="0"/>
        <w:spacing w:line="360" w:lineRule="auto"/>
        <w:ind w:leftChars="0" w:firstLine="525" w:firstLineChars="250"/>
        <w:jc w:val="left"/>
        <w:rPr>
          <w:rFonts w:hint="default" w:ascii="宋体" w:hAnsi="宋体" w:cs="宋体"/>
          <w:bCs/>
          <w:szCs w:val="21"/>
        </w:rPr>
      </w:pPr>
      <w:r>
        <w:rPr>
          <w:rFonts w:ascii="宋体" w:hAnsi="宋体" w:eastAsia="宋体"/>
        </w:rPr>
        <w:t xml:space="preserve">用“//”进一步细分层次      ①   ②   ③   ④   ⑤   ⑥  </w:t>
      </w:r>
    </w:p>
    <w:p>
      <w:pPr>
        <w:numPr>
          <w:ilvl w:val="0"/>
          <w:numId w:val="0"/>
        </w:numPr>
        <w:adjustRightInd w:val="0"/>
        <w:snapToGrid w:val="0"/>
        <w:spacing w:line="360" w:lineRule="auto"/>
        <w:ind w:leftChars="250"/>
        <w:jc w:val="left"/>
        <w:rPr>
          <w:rFonts w:hint="default" w:ascii="宋体" w:hAnsi="宋体" w:cs="宋体"/>
          <w:bCs/>
          <w:szCs w:val="21"/>
        </w:rPr>
      </w:pPr>
    </w:p>
    <w:p>
      <w:pPr>
        <w:spacing w:line="360" w:lineRule="exact"/>
        <w:rPr>
          <w:rFonts w:hint="eastAsia" w:ascii="宋体" w:hAnsi="宋体" w:eastAsia="宋体" w:cs="宋体"/>
          <w:bCs/>
          <w:szCs w:val="21"/>
        </w:rPr>
      </w:pPr>
      <w:r>
        <w:rPr>
          <w:rFonts w:hint="default" w:ascii="宋体" w:hAnsi="宋体" w:cs="宋体"/>
          <w:bCs/>
          <w:szCs w:val="21"/>
        </w:rPr>
        <w:t>三、</w:t>
      </w:r>
      <w:r>
        <w:rPr>
          <w:rFonts w:hint="eastAsia" w:ascii="宋体" w:hAnsi="宋体" w:eastAsia="宋体" w:cs="宋体"/>
          <w:bCs/>
          <w:szCs w:val="21"/>
        </w:rPr>
        <w:t>阅读下面材料，完成试题。</w:t>
      </w:r>
    </w:p>
    <w:p>
      <w:pPr>
        <w:spacing w:line="360" w:lineRule="exact"/>
        <w:rPr>
          <w:rFonts w:ascii="宋体" w:hAnsi="宋体"/>
          <w:szCs w:val="21"/>
        </w:rPr>
      </w:pPr>
      <w:r>
        <w:rPr>
          <w:rFonts w:hint="eastAsia" w:ascii="宋体" w:hAnsi="宋体"/>
          <w:szCs w:val="21"/>
        </w:rPr>
        <w:t>【材料一】</w:t>
      </w:r>
    </w:p>
    <w:p>
      <w:pPr>
        <w:spacing w:line="360" w:lineRule="exact"/>
        <w:ind w:firstLine="420" w:firstLineChars="200"/>
        <w:rPr>
          <w:rFonts w:ascii="楷体" w:hAnsi="楷体" w:eastAsia="楷体"/>
          <w:szCs w:val="21"/>
        </w:rPr>
      </w:pPr>
      <w:r>
        <w:rPr>
          <w:rFonts w:hint="eastAsia" w:ascii="楷体" w:hAnsi="楷体" w:eastAsia="楷体"/>
          <w:szCs w:val="21"/>
        </w:rPr>
        <w:t>2004年起，国家开始出台一系列动漫产业的扶持政策，如设立专项资金，实施“原创动漫扶持计划”，对动漫企业予以税收优惠，推出《国家“十二五”时期文化改革发展规划纲要》等。受此影响，我国动画电影票房于2013 年止住了之前的下跌态势，开始重新上扬。2013至2016 年，我国动画电影的上映量和票房实现了连续四年快速增长。</w:t>
      </w:r>
    </w:p>
    <w:p>
      <w:pPr>
        <w:spacing w:line="360" w:lineRule="exact"/>
        <w:ind w:firstLine="420" w:firstLineChars="200"/>
        <w:rPr>
          <w:rFonts w:hint="eastAsia" w:ascii="楷体" w:hAnsi="楷体" w:eastAsia="楷体"/>
          <w:szCs w:val="21"/>
        </w:rPr>
      </w:pPr>
      <w:r>
        <w:rPr>
          <w:rFonts w:hint="eastAsia" w:ascii="楷体" w:hAnsi="楷体" w:eastAsia="楷体"/>
          <w:szCs w:val="21"/>
        </w:rPr>
        <w:t>2017 年至 2018 年，以怀旧的名义重映老影片的风潮也开始影响到中国动画电影，共有 13 部动画电影被重新搬上银幕，但其中的大多数以票房惨淡的结果收场，我国动画电影的上映量和票房都有所回落。针对这种“炒冷饭”风潮，2018 年 11 月，国家电影局下发了《国产电影复映暂行规定》，要求今后复映的影片必须进行重审，同时还规定了复映影片的全部放映范围不超过 2500 个影厅。这样规范化的管理，将有力促进包括动画电影在内的中国动漫产业向更加健康的方向发展。</w:t>
      </w:r>
    </w:p>
    <w:p>
      <w:pPr>
        <w:spacing w:line="360" w:lineRule="exact"/>
        <w:ind w:firstLine="420" w:firstLineChars="200"/>
        <w:rPr>
          <w:rFonts w:hint="eastAsia" w:ascii="楷体" w:hAnsi="楷体" w:eastAsia="楷体"/>
          <w:szCs w:val="21"/>
        </w:rPr>
      </w:pPr>
    </w:p>
    <w:p>
      <w:pPr>
        <w:spacing w:line="360" w:lineRule="exact"/>
        <w:ind w:firstLine="420" w:firstLineChars="200"/>
        <w:rPr>
          <w:rFonts w:ascii="方正楷体_GBK" w:hAnsi="楷体" w:eastAsia="方正楷体_GBK"/>
          <w:szCs w:val="21"/>
        </w:rPr>
      </w:pPr>
      <w:r>
        <w:drawing>
          <wp:anchor distT="0" distB="0" distL="114300" distR="114300" simplePos="0" relativeHeight="251665408" behindDoc="0" locked="0" layoutInCell="1" allowOverlap="1">
            <wp:simplePos x="0" y="0"/>
            <wp:positionH relativeFrom="column">
              <wp:posOffset>693420</wp:posOffset>
            </wp:positionH>
            <wp:positionV relativeFrom="paragraph">
              <wp:posOffset>21590</wp:posOffset>
            </wp:positionV>
            <wp:extent cx="3862705" cy="2295525"/>
            <wp:effectExtent l="12700" t="12700" r="36195" b="2857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3862705" cy="2295525"/>
                    </a:xfrm>
                    <a:prstGeom prst="rect">
                      <a:avLst/>
                    </a:prstGeom>
                    <a:noFill/>
                    <a:ln w="6350" cap="flat" cmpd="sng">
                      <a:solidFill>
                        <a:srgbClr val="000000"/>
                      </a:solidFill>
                      <a:prstDash val="solid"/>
                      <a:miter/>
                      <a:headEnd type="none" w="med" len="med"/>
                      <a:tailEnd type="none" w="med" len="med"/>
                    </a:ln>
                  </pic:spPr>
                </pic:pic>
              </a:graphicData>
            </a:graphic>
          </wp:anchor>
        </w:drawing>
      </w:r>
    </w:p>
    <w:p>
      <w:pPr>
        <w:spacing w:line="360" w:lineRule="exact"/>
        <w:ind w:firstLine="420" w:firstLineChars="200"/>
        <w:rPr>
          <w:rFonts w:ascii="方正楷体_GBK" w:hAnsi="楷体" w:eastAsia="方正楷体_GBK"/>
          <w:szCs w:val="21"/>
        </w:rPr>
      </w:pPr>
    </w:p>
    <w:p>
      <w:pPr>
        <w:spacing w:line="360" w:lineRule="exact"/>
        <w:ind w:firstLine="420" w:firstLineChars="200"/>
        <w:rPr>
          <w:rFonts w:ascii="方正楷体_GBK" w:hAnsi="楷体" w:eastAsia="方正楷体_GBK"/>
          <w:szCs w:val="21"/>
        </w:rPr>
      </w:pPr>
    </w:p>
    <w:p>
      <w:pPr>
        <w:spacing w:line="360" w:lineRule="exact"/>
        <w:ind w:firstLine="420" w:firstLineChars="200"/>
        <w:rPr>
          <w:rFonts w:ascii="方正楷体_GBK" w:hAnsi="楷体" w:eastAsia="方正楷体_GBK"/>
          <w:szCs w:val="21"/>
        </w:rPr>
      </w:pPr>
    </w:p>
    <w:p>
      <w:pPr>
        <w:spacing w:line="360" w:lineRule="exact"/>
        <w:ind w:firstLine="420" w:firstLineChars="200"/>
        <w:rPr>
          <w:rFonts w:ascii="方正楷体_GBK" w:hAnsi="楷体" w:eastAsia="方正楷体_GBK"/>
          <w:szCs w:val="21"/>
        </w:rPr>
      </w:pPr>
    </w:p>
    <w:p>
      <w:pPr>
        <w:spacing w:line="360" w:lineRule="exact"/>
        <w:ind w:firstLine="420" w:firstLineChars="200"/>
        <w:rPr>
          <w:rFonts w:ascii="方正楷体_GBK" w:hAnsi="楷体" w:eastAsia="方正楷体_GBK"/>
          <w:szCs w:val="21"/>
        </w:rPr>
      </w:pPr>
    </w:p>
    <w:p>
      <w:pPr>
        <w:spacing w:line="360" w:lineRule="exact"/>
        <w:ind w:firstLine="420" w:firstLineChars="200"/>
        <w:rPr>
          <w:rFonts w:ascii="方正楷体_GBK" w:hAnsi="楷体" w:eastAsia="方正楷体_GBK"/>
          <w:szCs w:val="21"/>
        </w:rPr>
      </w:pPr>
    </w:p>
    <w:p>
      <w:pPr>
        <w:spacing w:line="360" w:lineRule="exact"/>
        <w:ind w:firstLine="420" w:firstLineChars="200"/>
        <w:rPr>
          <w:rFonts w:ascii="方正楷体_GBK" w:hAnsi="楷体" w:eastAsia="方正楷体_GBK"/>
          <w:szCs w:val="21"/>
        </w:rPr>
      </w:pPr>
    </w:p>
    <w:p>
      <w:pPr>
        <w:spacing w:line="360" w:lineRule="exact"/>
        <w:ind w:firstLine="420" w:firstLineChars="200"/>
        <w:rPr>
          <w:rFonts w:hint="eastAsia" w:ascii="方正楷体_GBK" w:hAnsi="楷体" w:eastAsia="方正楷体_GBK"/>
          <w:szCs w:val="21"/>
        </w:rPr>
      </w:pPr>
    </w:p>
    <w:p>
      <w:pPr>
        <w:spacing w:line="360" w:lineRule="exact"/>
        <w:ind w:firstLine="420" w:firstLineChars="200"/>
        <w:rPr>
          <w:rFonts w:hint="eastAsia" w:ascii="方正楷体_GBK" w:hAnsi="楷体" w:eastAsia="方正楷体_GBK"/>
          <w:szCs w:val="21"/>
        </w:rPr>
      </w:pPr>
    </w:p>
    <w:p>
      <w:pPr>
        <w:spacing w:line="360" w:lineRule="exact"/>
        <w:jc w:val="center"/>
        <w:rPr>
          <w:rFonts w:hint="eastAsia" w:ascii="仿宋" w:hAnsi="仿宋" w:eastAsia="仿宋"/>
          <w:szCs w:val="21"/>
        </w:rPr>
      </w:pPr>
      <w:r>
        <w:rPr>
          <w:rFonts w:hint="eastAsia" w:ascii="仿宋" w:hAnsi="仿宋" w:eastAsia="仿宋"/>
          <w:szCs w:val="21"/>
        </w:rPr>
        <w:t>2013-2018年中国动画电影票房与电影总票房统计图</w:t>
      </w:r>
    </w:p>
    <w:p>
      <w:pPr>
        <w:spacing w:line="360" w:lineRule="exact"/>
        <w:jc w:val="both"/>
        <w:rPr>
          <w:rFonts w:ascii="宋体" w:hAnsi="宋体"/>
          <w:bCs/>
          <w:szCs w:val="21"/>
        </w:rPr>
      </w:pPr>
      <w:r>
        <w:rPr>
          <w:rFonts w:hint="eastAsia" w:ascii="宋体" w:hAnsi="宋体"/>
          <w:szCs w:val="21"/>
        </w:rPr>
        <w:t>【材料二】</w:t>
      </w:r>
    </w:p>
    <w:p>
      <w:pPr>
        <w:spacing w:line="380" w:lineRule="exact"/>
        <w:ind w:firstLine="420"/>
        <w:rPr>
          <w:rFonts w:hint="eastAsia" w:ascii="楷体" w:hAnsi="楷体" w:eastAsia="楷体"/>
          <w:szCs w:val="21"/>
        </w:rPr>
      </w:pPr>
      <w:r>
        <w:rPr>
          <w:rFonts w:hint="eastAsia" w:ascii="楷体" w:hAnsi="楷体" w:eastAsia="楷体"/>
          <w:szCs w:val="21"/>
        </w:rPr>
        <w:t>2019年，动画电影《哪吒之魔童降世》占据了国内电影市场暑期档四分之一以上的票房，成为中国电影票房榜亚军，让人看到了国漫复兴的希望。这部电影为国产动画电影如何更好地讲述民族传统故事提供了借鉴。近年来，改编自人们熟知的民族传统故事的动画电影不在少数。这种改编，的确可以为某些动画电影带来更多的观众，但此类作品中，有一部分在传统与创新的有机融合上并不令人满意，</w:t>
      </w:r>
      <w:r>
        <w:rPr>
          <w:rFonts w:hint="default" w:ascii="楷体" w:hAnsi="楷体" w:eastAsia="楷体"/>
          <w:szCs w:val="21"/>
        </w:rPr>
        <w:t>它们过于固守或胡乱打破传统文本的叙述模式与人物设计，</w:t>
      </w:r>
      <w:r>
        <w:rPr>
          <w:rFonts w:hint="eastAsia" w:ascii="楷体" w:hAnsi="楷体" w:eastAsia="楷体"/>
          <w:szCs w:val="21"/>
        </w:rPr>
        <w:t>叙事拘泥于传统故事的“外壳”，新编情节漏洞百出、逻辑混乱，</w:t>
      </w:r>
      <w:r>
        <w:rPr>
          <w:rFonts w:hint="eastAsia" w:ascii="楷体" w:hAnsi="楷体" w:eastAsia="楷体"/>
          <w:color w:val="000000"/>
          <w:szCs w:val="21"/>
        </w:rPr>
        <w:t>人物性格受限于原著的“人设”，强加的转变缺少令人信服的铺垫，这些都造成了观众审美体验的不畅</w:t>
      </w:r>
      <w:r>
        <w:rPr>
          <w:rFonts w:hint="eastAsia" w:ascii="楷体" w:hAnsi="楷体" w:eastAsia="楷体"/>
          <w:szCs w:val="21"/>
        </w:rPr>
        <w:t>。而电影《哪吒之魔童降世》将熟悉的民族传统故事进行了创新处理，在把握精髓的基础上，创造性地设置了一系列与原著故事大相径庭的情节，给观众带来新奇的审美体验。该片还对人物性格的转变做了充分的铺垫，清晰地展示出人物形象变化的原因，使观众不觉得生硬。《哪吒之魔童降世》为传统与创新的有机融合提供了有益的范本。</w:t>
      </w:r>
    </w:p>
    <w:p>
      <w:pPr>
        <w:spacing w:line="380" w:lineRule="exact"/>
        <w:rPr>
          <w:rFonts w:ascii="宋体" w:hAnsi="宋体"/>
          <w:szCs w:val="21"/>
        </w:rPr>
      </w:pPr>
      <w:r>
        <w:rPr>
          <w:rFonts w:hint="eastAsia" w:ascii="宋体" w:hAnsi="宋体"/>
          <w:szCs w:val="21"/>
        </w:rPr>
        <w:t>【材料三】</w:t>
      </w:r>
    </w:p>
    <w:p>
      <w:pPr>
        <w:spacing w:line="380" w:lineRule="exact"/>
        <w:ind w:firstLine="420" w:firstLineChars="200"/>
        <w:rPr>
          <w:rFonts w:ascii="楷体" w:hAnsi="楷体" w:eastAsia="楷体"/>
          <w:szCs w:val="21"/>
        </w:rPr>
      </w:pPr>
      <w:r>
        <w:rPr>
          <w:rFonts w:hint="eastAsia" w:ascii="楷体" w:hAnsi="楷体" w:eastAsia="楷体"/>
          <w:szCs w:val="21"/>
        </w:rPr>
        <w:t>虚拟现实技术，又称为灵境技术，是一种将虚拟与现实相结合的技术。该技术使用计算机模拟虚拟环境，从而给人以环境沉浸感。动画电影《大鱼海棠》《大圣归来》等都用到了这种技术。新技术的应用，是动画电影行业发展的一个</w:t>
      </w:r>
      <w:r>
        <w:rPr>
          <w:rFonts w:hint="default" w:ascii="楷体" w:hAnsi="楷体" w:eastAsia="楷体"/>
          <w:szCs w:val="21"/>
          <w:u w:val="none"/>
        </w:rPr>
        <w:t>契机</w:t>
      </w:r>
      <w:r>
        <w:rPr>
          <w:rFonts w:hint="eastAsia" w:ascii="楷体" w:hAnsi="楷体" w:eastAsia="楷体"/>
          <w:szCs w:val="21"/>
        </w:rPr>
        <w:t>。虚拟现实技术能够根据动画电影的内容以及情节的需要，利用数字技术制作一个多维的空间，把观众带进一个立体的光影世界，使其产生前所未有的畅快淋漓的体验感。一部好的动画电影不但需要好的题材与故事情节，更需要高新技术的支撑。国产动画电影要得以发展，创发新技术的任务必须完成。</w:t>
      </w:r>
    </w:p>
    <w:p>
      <w:pPr>
        <w:spacing w:line="380" w:lineRule="exact"/>
        <w:ind w:left="630" w:leftChars="200" w:hanging="210" w:hangingChars="100"/>
        <w:rPr>
          <w:rFonts w:hint="eastAsia" w:ascii="宋体" w:hAnsi="宋体"/>
          <w:szCs w:val="21"/>
        </w:rPr>
      </w:pPr>
    </w:p>
    <w:p>
      <w:pPr>
        <w:spacing w:line="380" w:lineRule="exact"/>
        <w:ind w:left="630" w:leftChars="200" w:hanging="210" w:hangingChars="100"/>
        <w:rPr>
          <w:rFonts w:ascii="宋体" w:hAnsi="宋体"/>
          <w:szCs w:val="21"/>
        </w:rPr>
      </w:pPr>
      <w:r>
        <w:rPr>
          <w:rFonts w:hint="eastAsia" w:ascii="宋体" w:hAnsi="宋体"/>
          <w:szCs w:val="21"/>
        </w:rPr>
        <w:t>综合以上三则材料，说说如何实现“国漫复兴”。（3分）</w:t>
      </w:r>
    </w:p>
    <w:p>
      <w:pPr>
        <w:spacing w:line="380" w:lineRule="exact"/>
        <w:ind w:left="283" w:leftChars="135"/>
        <w:rPr>
          <w:rFonts w:ascii="宋体" w:hAnsi="宋体"/>
          <w:szCs w:val="21"/>
        </w:rPr>
      </w:pPr>
      <w:r>
        <w:rPr>
          <w:rFonts w:hint="eastAsia" w:ascii="宋体" w:hAnsi="宋体"/>
          <w:szCs w:val="21"/>
        </w:rPr>
        <w:t>答：</w:t>
      </w:r>
      <w:r>
        <w:rPr>
          <w:rFonts w:hint="eastAsia" w:ascii="宋体" w:hAnsi="宋体"/>
          <w:szCs w:val="21"/>
          <w:u w:val="single"/>
        </w:rPr>
        <w:t xml:space="preserve">            </w:t>
      </w:r>
    </w:p>
    <w:p>
      <w:pPr>
        <w:adjustRightInd w:val="0"/>
        <w:snapToGrid w:val="0"/>
        <w:spacing w:line="300" w:lineRule="auto"/>
        <w:rPr>
          <w:rFonts w:hint="eastAsia"/>
          <w:color w:val="000000" w:themeColor="text1"/>
          <w14:textFill>
            <w14:solidFill>
              <w14:schemeClr w14:val="tx1"/>
            </w14:solidFill>
          </w14:textFill>
        </w:rPr>
      </w:pPr>
    </w:p>
    <w:p>
      <w:pPr>
        <w:adjustRightInd w:val="0"/>
        <w:snapToGrid w:val="0"/>
        <w:spacing w:line="300" w:lineRule="auto"/>
        <w:rPr>
          <w:rFonts w:hint="eastAsia"/>
          <w:color w:val="000000" w:themeColor="text1"/>
          <w14:textFill>
            <w14:solidFill>
              <w14:schemeClr w14:val="tx1"/>
            </w14:solidFill>
          </w14:textFill>
        </w:rPr>
      </w:pPr>
    </w:p>
    <w:p>
      <w:pPr>
        <w:rPr>
          <w:color w:val="000000" w:themeColor="text1"/>
          <w14:textFill>
            <w14:solidFill>
              <w14:schemeClr w14:val="tx1"/>
            </w14:solidFill>
          </w14:textFill>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汉仪书宋二KW">
    <w:panose1 w:val="00020600040101010101"/>
    <w:charset w:val="86"/>
    <w:family w:val="auto"/>
    <w:pitch w:val="default"/>
    <w:sig w:usb0="A00002BF" w:usb1="18EF7CFA" w:usb2="00000016" w:usb3="00000000" w:csb0="00040000" w:csb1="00000000"/>
  </w:font>
  <w:font w:name="DengXian">
    <w:altName w:val="汉仪中等线KW"/>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新宋体">
    <w:altName w:val="华文宋体"/>
    <w:panose1 w:val="02010609030101010101"/>
    <w:charset w:val="86"/>
    <w:family w:val="modern"/>
    <w:pitch w:val="default"/>
    <w:sig w:usb0="00000000" w:usb1="00000000"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Light">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宋体-简">
    <w:panose1 w:val="02010800040101010101"/>
    <w:charset w:val="86"/>
    <w:family w:val="auto"/>
    <w:pitch w:val="default"/>
    <w:sig w:usb0="00000001" w:usb1="080F0000" w:usb2="00000000" w:usb3="00000000" w:csb0="00040000" w:csb1="00000000"/>
  </w:font>
  <w:font w:name="黑体">
    <w:panose1 w:val="02010609060101010101"/>
    <w:charset w:val="86"/>
    <w:family w:val="modern"/>
    <w:pitch w:val="default"/>
    <w:sig w:usb0="800002BF" w:usb1="38CF7CFA" w:usb2="00000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arial">
    <w:altName w:val="苹方-简"/>
    <w:panose1 w:val="00000000000000000000"/>
    <w:charset w:val="00"/>
    <w:family w:val="auto"/>
    <w:pitch w:val="default"/>
    <w:sig w:usb0="00000000" w:usb1="00000000" w:usb2="00000000" w:usb3="00000000" w:csb0="00000000" w:csb1="00000000"/>
  </w:font>
  <w:font w:name="儷宋 Pro">
    <w:panose1 w:val="02020300000000000000"/>
    <w:charset w:val="88"/>
    <w:family w:val="auto"/>
    <w:pitch w:val="default"/>
    <w:sig w:usb0="80000001" w:usb1="28091800" w:usb2="00000016" w:usb3="00000000" w:csb0="00100000" w:csb1="00000000"/>
  </w:font>
  <w:font w:name="仿宋">
    <w:panose1 w:val="02010609060101010101"/>
    <w:charset w:val="86"/>
    <w:family w:val="auto"/>
    <w:pitch w:val="default"/>
    <w:sig w:usb0="800002BF" w:usb1="38CF7CFA" w:usb2="00000016" w:usb3="00000000" w:csb0="00040001" w:csb1="00000000"/>
  </w:font>
  <w:font w:name="楷体-简">
    <w:panose1 w:val="02010600040101010101"/>
    <w:charset w:val="86"/>
    <w:family w:val="auto"/>
    <w:pitch w:val="default"/>
    <w:sig w:usb0="80000287" w:usb1="280F3C52" w:usb2="00000016" w:usb3="00000000" w:csb0="0004001F" w:csb1="00000000"/>
  </w:font>
  <w:font w:name="楷体_GB2312">
    <w:altName w:val="楷体"/>
    <w:panose1 w:val="02010600040101010101"/>
    <w:charset w:val="00"/>
    <w:family w:val="auto"/>
    <w:pitch w:val="default"/>
    <w:sig w:usb0="00000000" w:usb1="00000000" w:usb2="00000010" w:usb3="00000000" w:csb0="00040000" w:csb1="00000000"/>
  </w:font>
  <w:font w:name="Verdana">
    <w:panose1 w:val="020B08040305040B0204"/>
    <w:charset w:val="00"/>
    <w:family w:val="swiss"/>
    <w:pitch w:val="default"/>
    <w:sig w:usb0="A10006FF" w:usb1="4000205B" w:usb2="00000010" w:usb3="00000000" w:csb0="2000019F" w:csb1="00000000"/>
  </w:font>
  <w:font w:name="ˎ̥">
    <w:altName w:val="苹方-简"/>
    <w:panose1 w:val="00000000000000000000"/>
    <w:charset w:val="00"/>
    <w:family w:val="roman"/>
    <w:pitch w:val="default"/>
    <w:sig w:usb0="00000000" w:usb1="00000000" w:usb2="00000000" w:usb3="00000000" w:csb0="00040001" w:csb1="00000000"/>
  </w:font>
  <w:font w:name="仿宋_GB2312">
    <w:altName w:val="仿宋"/>
    <w:panose1 w:val="02010600040101010101"/>
    <w:charset w:val="00"/>
    <w:family w:val="auto"/>
    <w:pitch w:val="default"/>
    <w:sig w:usb0="00000000" w:usb1="00000000" w:usb2="00000010" w:usb3="00000000" w:csb0="00040000" w:csb1="00000000"/>
  </w:font>
  <w:font w:name="Lucida Sans Unicode">
    <w:panose1 w:val="020B0602030504020204"/>
    <w:charset w:val="00"/>
    <w:family w:val="swiss"/>
    <w:pitch w:val="default"/>
    <w:sig w:usb0="80001AFF" w:usb1="0000396B" w:usb2="00000000" w:usb3="00000000" w:csb0="200000BF" w:csb1="D7F70000"/>
  </w:font>
  <w:font w:name="simsun">
    <w:altName w:val="苹方-简"/>
    <w:panose1 w:val="00000000000000000000"/>
    <w:charset w:val="00"/>
    <w:family w:val="roman"/>
    <w:pitch w:val="default"/>
    <w:sig w:usb0="00000000" w:usb1="00000000" w:usb2="00000000" w:usb3="00000000" w:csb0="00040001" w:csb1="00000000"/>
  </w:font>
  <w:font w:name="方正书宋_GBK">
    <w:altName w:val="汉仪书宋二KW"/>
    <w:panose1 w:val="00000000000000000000"/>
    <w:charset w:val="00"/>
    <w:family w:val="script"/>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A6+CAJ FNT00">
    <w:altName w:val="苹方-简"/>
    <w:panose1 w:val="00000000000000000000"/>
    <w:charset w:val="00"/>
    <w:family w:val="auto"/>
    <w:pitch w:val="default"/>
    <w:sig w:usb0="00000000" w:usb1="00000000" w:usb2="00000010" w:usb3="00000000" w:csb0="00040000" w:csb1="00000000"/>
  </w:font>
  <w:font w:name="方正魏碑简体">
    <w:altName w:val="苹方-简"/>
    <w:panose1 w:val="02010601030101010101"/>
    <w:charset w:val="00"/>
    <w:family w:val="auto"/>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方正楷体_GBK">
    <w:altName w:val="苹方-简"/>
    <w:panose1 w:val="03000509000000000000"/>
    <w:charset w:val="00"/>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80000287" w:usb1="280F3C52" w:usb2="00000016" w:usb3="00000000" w:csb0="0004001F" w:csb1="00000000"/>
  </w:font>
  <w:font w:name="隶变-简">
    <w:panose1 w:val="02010600040101010101"/>
    <w:charset w:val="86"/>
    <w:family w:val="auto"/>
    <w:pitch w:val="default"/>
    <w:sig w:usb0="80000287" w:usb1="280F3C52" w:usb2="00000016" w:usb3="00000000" w:csb0="0004001F" w:csb1="00000000"/>
  </w:font>
  <w:font w:name="雅痞-简">
    <w:panose1 w:val="020F0603040207020204"/>
    <w:charset w:val="86"/>
    <w:family w:val="auto"/>
    <w:pitch w:val="default"/>
    <w:sig w:usb0="A00002FF" w:usb1="7ACF7CFB" w:usb2="0000001E" w:usb3="00000000" w:csb0="00040001" w:csb1="00000000"/>
  </w:font>
  <w:font w:name="圆体-繁">
    <w:panose1 w:val="02010600040101010101"/>
    <w:charset w:val="86"/>
    <w:family w:val="auto"/>
    <w:pitch w:val="default"/>
    <w:sig w:usb0="80000287" w:usb1="280F3C52" w:usb2="00000016" w:usb3="00000000" w:csb0="0004001F" w:csb1="00000000"/>
  </w:font>
  <w:font w:name="PingFangSC-Medium">
    <w:altName w:val="苹方-简"/>
    <w:panose1 w:val="00000000000000000000"/>
    <w:charset w:val="00"/>
    <w:family w:val="auto"/>
    <w:pitch w:val="default"/>
    <w:sig w:usb0="00000000" w:usb1="00000000" w:usb2="00000000" w:usb3="00000000" w:csb0="00000000" w:csb1="00000000"/>
  </w:font>
  <w:font w:name="等线">
    <w:altName w:val="汉仪中等线KW"/>
    <w:panose1 w:val="00000000000000000000"/>
    <w:charset w:val="86"/>
    <w:family w:val="auto"/>
    <w:pitch w:val="default"/>
    <w:sig w:usb0="00000000" w:usb1="00000000" w:usb2="00000000" w:usb3="00000000" w:csb0="00000000" w:csb1="00000000"/>
  </w:font>
  <w:font w:name="Calibri Light">
    <w:altName w:val="Helvetica Neue"/>
    <w:panose1 w:val="020F0302020204030204"/>
    <w:charset w:val="00"/>
    <w:family w:val="swiss"/>
    <w:pitch w:val="default"/>
    <w:sig w:usb0="00000000" w:usb1="00000000" w:usb2="00000009" w:usb3="00000000" w:csb0="000001FF" w:csb1="00000000"/>
  </w:font>
  <w:font w:name="冬青黑体简体中文">
    <w:panose1 w:val="020B0300000000000000"/>
    <w:charset w:val="86"/>
    <w:family w:val="auto"/>
    <w:pitch w:val="default"/>
    <w:sig w:usb0="A00002BF" w:usb1="1ACF7CFA" w:usb2="00000016" w:usb3="00000000" w:csb0="00060007" w:csb1="00000000"/>
  </w:font>
  <w:font w:name="Helvetica Neue">
    <w:panose1 w:val="02000503000000020004"/>
    <w:charset w:val="00"/>
    <w:family w:val="auto"/>
    <w:pitch w:val="default"/>
    <w:sig w:usb0="E50002FF" w:usb1="500079DB" w:usb2="00000010" w:usb3="00000000" w:csb0="00000000" w:csb1="00000000"/>
  </w:font>
  <w:font w:name="儷黑 Pro">
    <w:panose1 w:val="020B0500000000000000"/>
    <w:charset w:val="88"/>
    <w:family w:val="auto"/>
    <w:pitch w:val="default"/>
    <w:sig w:usb0="80000001" w:usb1="28091800" w:usb2="00000016" w:usb3="00000000" w:csb0="00100000" w:csb1="00000000"/>
  </w:font>
  <w:font w:name="华文仿宋">
    <w:panose1 w:val="02010600040101010101"/>
    <w:charset w:val="86"/>
    <w:family w:val="auto"/>
    <w:pitch w:val="default"/>
    <w:sig w:usb0="00000287" w:usb1="080F0000" w:usb2="00000000" w:usb3="00000000" w:csb0="0004009F" w:csb1="DFD70000"/>
  </w:font>
  <w:font w:name="魏碑-简">
    <w:panose1 w:val="03000800000000000000"/>
    <w:charset w:val="86"/>
    <w:family w:val="auto"/>
    <w:pitch w:val="default"/>
    <w:sig w:usb0="A00002FF" w:usb1="78CFFCFB" w:usb2="00080016" w:usb3="00000000" w:csb0="20060187" w:csb1="00000000"/>
  </w:font>
  <w:font w:name="黑体-简">
    <w:panose1 w:val="02000000000000000000"/>
    <w:charset w:val="86"/>
    <w:family w:val="auto"/>
    <w:pitch w:val="default"/>
    <w:sig w:usb0="8000002F" w:usb1="0800004A" w:usb2="00000000" w:usb3="00000000" w:csb0="203E0000" w:csb1="00000000"/>
  </w:font>
  <w:font w:name="等线">
    <w:altName w:val="汉仪中等线KW"/>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40DEB9"/>
    <w:multiLevelType w:val="singleLevel"/>
    <w:tmpl w:val="5E40DEB9"/>
    <w:lvl w:ilvl="0" w:tentative="0">
      <w:start w:val="1"/>
      <w:numFmt w:val="decimal"/>
      <w:suff w:val="space"/>
      <w:lvlText w:val="（%1）"/>
      <w:lvlJc w:val="left"/>
    </w:lvl>
  </w:abstractNum>
  <w:abstractNum w:abstractNumId="1">
    <w:nsid w:val="5E40DF3A"/>
    <w:multiLevelType w:val="singleLevel"/>
    <w:tmpl w:val="5E40DF3A"/>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A4D"/>
    <w:rsid w:val="003625BE"/>
    <w:rsid w:val="003822C1"/>
    <w:rsid w:val="004C777C"/>
    <w:rsid w:val="00B67A4D"/>
    <w:rsid w:val="63767E08"/>
    <w:rsid w:val="77FF7F46"/>
    <w:rsid w:val="7CF76267"/>
    <w:rsid w:val="7ED6B138"/>
    <w:rsid w:val="7EFDB0F4"/>
    <w:rsid w:val="B5EFFE8C"/>
    <w:rsid w:val="BAF7DB78"/>
    <w:rsid w:val="EED4FCFE"/>
    <w:rsid w:val="FE6CD8AA"/>
    <w:rsid w:val="FFFF1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Plain Text"/>
    <w:basedOn w:val="1"/>
    <w:link w:val="8"/>
    <w:qFormat/>
    <w:uiPriority w:val="0"/>
    <w:rPr>
      <w:rFonts w:ascii="宋体" w:hAnsi="Courier New" w:cs="Courier New"/>
      <w:szCs w:val="21"/>
    </w:rPr>
  </w:style>
  <w:style w:type="paragraph" w:styleId="3">
    <w:name w:val="Normal (Web)"/>
    <w:basedOn w:val="1"/>
    <w:unhideWhenUsed/>
    <w:qFormat/>
    <w:uiPriority w:val="99"/>
    <w:pPr>
      <w:widowControl/>
      <w:jc w:val="left"/>
    </w:pPr>
    <w:rPr>
      <w:rFonts w:ascii="宋体" w:hAnsi="宋体" w:cs="宋体"/>
      <w:kern w:val="0"/>
      <w:sz w:val="24"/>
    </w:rPr>
  </w:style>
  <w:style w:type="character" w:customStyle="1" w:styleId="6">
    <w:name w:val="DefaultParagraph Char"/>
    <w:link w:val="7"/>
    <w:qFormat/>
    <w:locked/>
    <w:uiPriority w:val="0"/>
    <w:rPr>
      <w:szCs w:val="22"/>
    </w:rPr>
  </w:style>
  <w:style w:type="paragraph" w:customStyle="1" w:styleId="7">
    <w:name w:val="DefaultParagraph"/>
    <w:link w:val="6"/>
    <w:qFormat/>
    <w:uiPriority w:val="0"/>
    <w:rPr>
      <w:rFonts w:asciiTheme="minorHAnsi" w:hAnsiTheme="minorHAnsi" w:eastAsiaTheme="minorEastAsia" w:cstheme="minorBidi"/>
      <w:kern w:val="2"/>
      <w:sz w:val="21"/>
      <w:szCs w:val="22"/>
      <w:lang w:val="en-US" w:eastAsia="zh-CN" w:bidi="ar-SA"/>
    </w:rPr>
  </w:style>
  <w:style w:type="character" w:customStyle="1" w:styleId="8">
    <w:name w:val="纯文本 Char1"/>
    <w:link w:val="2"/>
    <w:qFormat/>
    <w:uiPriority w:val="0"/>
    <w:rPr>
      <w:rFonts w:ascii="宋体" w:hAnsi="Courier New" w:eastAsia="宋体" w:cs="Courier New"/>
      <w:szCs w:val="21"/>
    </w:rPr>
  </w:style>
  <w:style w:type="character" w:customStyle="1" w:styleId="9">
    <w:name w:val="纯文本 字符"/>
    <w:basedOn w:val="4"/>
    <w:semiHidden/>
    <w:qFormat/>
    <w:uiPriority w:val="99"/>
    <w:rPr>
      <w:rFonts w:hAnsi="Courier New" w:cs="Courier New" w:asciiTheme="minorEastAsia"/>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295</Words>
  <Characters>1685</Characters>
  <Lines>14</Lines>
  <Paragraphs>3</Paragraphs>
  <ScaleCrop>false</ScaleCrop>
  <LinksUpToDate>false</LinksUpToDate>
  <CharactersWithSpaces>1977</CharactersWithSpaces>
  <Application>WPS Office_1.9.1.2994_F1E327BC-269C-435d-A152-05C5408002CA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2020-02-01T17:48:00Z</dcterms:created>
  <dc:creator>晓绪 商</dc:creator>
  <cp:lastModifiedBy>lifeifei</cp:lastModifiedBy>
  <dcterms:modified xsi:type="dcterms:W3CDTF">2020-02-11T01:14:34Z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2052-1.9.1.2994</vt:lpwstr>
  </property>
</Properties>
</file>