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高二</w:t>
      </w:r>
      <w:r>
        <w:rPr>
          <w:rFonts w:hint="eastAsia"/>
          <w:b/>
          <w:bCs/>
          <w:sz w:val="32"/>
          <w:szCs w:val="40"/>
        </w:rPr>
        <w:t>年级化学线上课程</w:t>
      </w:r>
      <w:r>
        <w:rPr>
          <w:rFonts w:hint="eastAsia"/>
          <w:b/>
          <w:bCs/>
          <w:sz w:val="32"/>
          <w:szCs w:val="40"/>
          <w:lang w:val="en-US" w:eastAsia="zh-CN"/>
        </w:rPr>
        <w:t>学习指南</w:t>
      </w:r>
    </w:p>
    <w:tbl>
      <w:tblPr>
        <w:tblStyle w:val="6"/>
        <w:tblpPr w:leftFromText="180" w:rightFromText="180" w:vertAnchor="text" w:horzAnchor="page" w:tblpX="1813" w:tblpY="570"/>
        <w:tblOverlap w:val="never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6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学习主题</w:t>
            </w:r>
          </w:p>
        </w:tc>
        <w:tc>
          <w:tcPr>
            <w:tcW w:w="6888" w:type="dxa"/>
          </w:tcPr>
          <w:p>
            <w:pPr>
              <w:spacing w:line="360" w:lineRule="auto"/>
              <w:jc w:val="center"/>
              <w:rPr>
                <w:rFonts w:ascii="宋体" w:cs="宋体"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电解质</w:t>
            </w:r>
            <w:r>
              <w:rPr>
                <w:rFonts w:ascii="黑体" w:hAnsi="黑体" w:eastAsia="黑体" w:cs="宋体"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szCs w:val="21"/>
              </w:rPr>
              <w:t>电离</w:t>
            </w:r>
            <w:r>
              <w:rPr>
                <w:rFonts w:ascii="黑体" w:hAnsi="黑体" w:eastAsia="黑体" w:cs="宋体"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szCs w:val="21"/>
              </w:rPr>
              <w:t>离子反应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学习目标</w:t>
            </w:r>
          </w:p>
        </w:tc>
        <w:tc>
          <w:tcPr>
            <w:tcW w:w="6888" w:type="dxa"/>
          </w:tcPr>
          <w:p>
            <w:pPr>
              <w:spacing w:line="288" w:lineRule="auto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ascii="黑体" w:hAnsi="黑体" w:eastAsia="黑体" w:cs="宋体"/>
                <w:bCs/>
                <w:szCs w:val="21"/>
              </w:rPr>
              <w:t>1.</w:t>
            </w:r>
            <w:r>
              <w:rPr>
                <w:rFonts w:hint="eastAsia" w:ascii="黑体" w:hAnsi="黑体" w:eastAsia="黑体" w:cs="宋体"/>
                <w:bCs/>
                <w:szCs w:val="21"/>
              </w:rPr>
              <w:t>通过图示，以变化的思想领会电离的概念，从而掌握电解质概念的内涵和外延。</w:t>
            </w:r>
          </w:p>
          <w:p>
            <w:pPr>
              <w:spacing w:line="288" w:lineRule="auto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ascii="黑体" w:hAnsi="黑体" w:eastAsia="黑体" w:cs="宋体"/>
                <w:bCs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bCs/>
                <w:szCs w:val="21"/>
              </w:rPr>
              <w:t>通过对电解质和电离概念的认识，从宏观和微观相结合的视角重新认识酸、碱、盐的概念。建立离子观，能从微观的角度来解释宏观化学现象，进一步发展宏观现象与微观变化之间的联系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288" w:lineRule="auto"/>
              <w:rPr>
                <w:rFonts w:ascii="宋体" w:cs="宋体"/>
                <w:bCs/>
                <w:sz w:val="28"/>
                <w:szCs w:val="36"/>
              </w:rPr>
            </w:pPr>
            <w:r>
              <w:rPr>
                <w:rFonts w:ascii="黑体" w:hAnsi="黑体" w:eastAsia="黑体" w:cs="宋体"/>
                <w:szCs w:val="21"/>
              </w:rPr>
              <w:t>3.</w:t>
            </w:r>
            <w:r>
              <w:rPr>
                <w:rFonts w:hint="eastAsia" w:ascii="黑体" w:hAnsi="黑体" w:eastAsia="黑体" w:cs="宋体"/>
                <w:szCs w:val="21"/>
              </w:rPr>
              <w:t>通过归纳总结</w:t>
            </w:r>
            <w:r>
              <w:rPr>
                <w:rFonts w:hint="eastAsia" w:ascii="黑体" w:hAnsi="黑体" w:eastAsia="黑体" w:cs="宋体"/>
                <w:bCs/>
                <w:szCs w:val="21"/>
              </w:rPr>
              <w:t>能从电离、离子反应的角度分析溶液的性质，综合利用离子反应分析和解决生产、生活中有关电解质溶液的实际问题。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学法指导</w:t>
            </w:r>
          </w:p>
        </w:tc>
        <w:tc>
          <w:tcPr>
            <w:tcW w:w="6888" w:type="dxa"/>
          </w:tcPr>
          <w:p>
            <w:pPr>
              <w:spacing w:line="288" w:lineRule="auto"/>
              <w:ind w:firstLine="315" w:firstLineChars="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建立分析电解质概念、电解质电离和溶液中电解质的认识基本模型，能够利用这些模型理解电解质在溶液中行为。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学习内容</w:t>
            </w:r>
          </w:p>
        </w:tc>
        <w:tc>
          <w:tcPr>
            <w:tcW w:w="6888" w:type="dxa"/>
          </w:tcPr>
          <w:p>
            <w:pPr>
              <w:spacing w:line="288" w:lineRule="auto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Cs w:val="21"/>
              </w:rPr>
              <w:t>环节一</w:t>
            </w:r>
            <w:r>
              <w:rPr>
                <w:rFonts w:ascii="黑体" w:hAnsi="黑体" w:eastAsia="黑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szCs w:val="21"/>
              </w:rPr>
              <w:t>：电离、电解质概念梳理</w:t>
            </w:r>
          </w:p>
          <w:p>
            <w:pPr>
              <w:spacing w:line="288" w:lineRule="auto"/>
              <w:ind w:firstLine="420" w:firstLineChars="200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通过氯化钠固体不导电，在一定的条件下才能导电，是因为产生自由自动的带电粒子，图文结合进一步理解电离。并从电离角度重新认识酸、碱和盐。</w:t>
            </w:r>
          </w:p>
          <w:p>
            <w:pPr>
              <w:spacing w:line="288" w:lineRule="auto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ascii="黑体" w:hAnsi="黑体" w:eastAsia="黑体" w:cs="宋体"/>
                <w:bCs/>
                <w:szCs w:val="21"/>
              </w:rPr>
              <w:t xml:space="preserve">   </w:t>
            </w:r>
            <w:r>
              <w:rPr>
                <w:rFonts w:hint="eastAsia" w:ascii="黑体" w:hAnsi="黑体" w:eastAsia="黑体" w:cs="宋体"/>
                <w:bCs/>
                <w:szCs w:val="21"/>
              </w:rPr>
              <w:t>化合物种类很多，从在一定条件下能否电离出自由自动的离子而导电的角度，将化合物分为电解质和非电解质，并结合练习多角度理解电解质</w:t>
            </w:r>
          </w:p>
          <w:p>
            <w:pPr>
              <w:spacing w:line="288" w:lineRule="auto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Cs w:val="21"/>
              </w:rPr>
              <w:t>环节二：离子反应概念梳理</w:t>
            </w:r>
          </w:p>
          <w:p>
            <w:pPr>
              <w:spacing w:line="288" w:lineRule="auto"/>
              <w:ind w:firstLine="210" w:firstLineChars="100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给出四组实验及宏观现象</w:t>
            </w:r>
          </w:p>
          <w:p>
            <w:pPr>
              <w:spacing w:line="288" w:lineRule="auto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ascii="黑体" w:hAnsi="黑体" w:eastAsia="黑体" w:cs="宋体"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szCs w:val="21"/>
              </w:rPr>
              <w:t>通过微观分析，得出离子反应的本质、概念及反应条件</w:t>
            </w:r>
          </w:p>
          <w:p>
            <w:pPr>
              <w:spacing w:line="288" w:lineRule="auto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ascii="黑体" w:hAnsi="黑体" w:eastAsia="黑体" w:cs="宋体"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szCs w:val="21"/>
              </w:rPr>
              <w:t>进一步发展宏观现象与微观变化之间的联系，也体现了证据意识的化学素养。</w:t>
            </w:r>
          </w:p>
          <w:p>
            <w:pPr>
              <w:spacing w:line="288" w:lineRule="auto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Cs w:val="21"/>
              </w:rPr>
              <w:t>环节三：整合提升</w:t>
            </w:r>
          </w:p>
          <w:p>
            <w:pPr>
              <w:spacing w:line="288" w:lineRule="auto"/>
              <w:rPr>
                <w:rFonts w:ascii="黑体" w:hAnsi="黑体" w:eastAsia="黑体" w:cs="宋体"/>
                <w:b/>
                <w:bCs/>
                <w:szCs w:val="21"/>
              </w:rPr>
            </w:pPr>
            <w:r>
              <w:rPr>
                <w:rFonts w:ascii="黑体" w:hAnsi="黑体" w:eastAsia="黑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szCs w:val="21"/>
              </w:rPr>
              <w:t>以海水淡化的方法为情景，从试剂法和交换法两个角度，结合前面的知识对海水中的杂质离子进行去除，进一步体会电解质在水溶液中，微粒的相互作用电离、离子反应。体会利用电离和离子反应分析和解决生产、生活中有关电解质溶液的实际问题。</w:t>
            </w:r>
            <w:r>
              <w:rPr>
                <w:rFonts w:hint="eastAsia" w:ascii="黑体" w:hAnsi="黑体" w:eastAsia="黑体" w:cs="宋体"/>
                <w:b/>
                <w:bCs/>
                <w:szCs w:val="21"/>
              </w:rPr>
              <w:t>并</w:t>
            </w:r>
            <w:r>
              <w:rPr>
                <w:rFonts w:hint="eastAsia" w:ascii="黑体" w:hAnsi="黑体" w:eastAsia="黑体" w:cs="宋体"/>
                <w:bCs/>
                <w:szCs w:val="21"/>
              </w:rPr>
              <w:t>归纳总结电解质溶液问题分析模型</w:t>
            </w:r>
          </w:p>
          <w:p>
            <w:pPr>
              <w:spacing w:line="288" w:lineRule="auto"/>
              <w:ind w:firstLine="105" w:firstLineChars="50"/>
              <w:rPr>
                <w:rFonts w:ascii="黑体" w:hAnsi="黑体" w:eastAsia="黑体" w:cs="宋体"/>
                <w:bCs/>
                <w:szCs w:val="21"/>
              </w:rPr>
            </w:pPr>
            <w:bookmarkStart w:id="0" w:name="_GoBack"/>
            <w:r>
              <w:rPr>
                <w:rFonts w:ascii="黑体" w:hAnsi="黑体" w:eastAsia="黑体" w:cs="宋体"/>
                <w:bCs/>
                <w:szCs w:val="21"/>
              </w:rPr>
              <w:pict>
                <v:shape id="_x0000_i1025" o:spt="75" alt="" type="#_x0000_t75" style="height:96.75pt;width:195.75pt;" filled="f" o:preferrelative="t" stroked="f" coordsize="21600,21600">
                  <v:path/>
                  <v:fill on="f" focussize="0,0"/>
                  <v:stroke on="f"/>
                  <v:imagedata r:id="rId10" cropleft="15375f" croptop="17641f" cropright="20348f" cropbottom="20838f" o:title=""/>
                  <o:lock v:ext="edit" aspectratio="t"/>
                  <w10:wrap type="none"/>
                  <w10:anchorlock/>
                </v:shape>
              </w:pict>
            </w:r>
            <w:bookmarkEnd w:id="0"/>
          </w:p>
          <w:p>
            <w:pPr>
              <w:spacing w:line="288" w:lineRule="auto"/>
              <w:rPr>
                <w:rFonts w:ascii="黑体" w:hAnsi="黑体" w:eastAsia="黑体" w:cs="宋体"/>
                <w:bCs/>
                <w:szCs w:val="21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A653CB1"/>
    <w:rsid w:val="00012043"/>
    <w:rsid w:val="00085337"/>
    <w:rsid w:val="0011693E"/>
    <w:rsid w:val="00130637"/>
    <w:rsid w:val="00131C89"/>
    <w:rsid w:val="001B3186"/>
    <w:rsid w:val="001E4AD7"/>
    <w:rsid w:val="001F0805"/>
    <w:rsid w:val="001F13BE"/>
    <w:rsid w:val="00234C8B"/>
    <w:rsid w:val="002E4E37"/>
    <w:rsid w:val="00322396"/>
    <w:rsid w:val="00340C65"/>
    <w:rsid w:val="003C4A44"/>
    <w:rsid w:val="00414804"/>
    <w:rsid w:val="00430D82"/>
    <w:rsid w:val="00462903"/>
    <w:rsid w:val="0046435C"/>
    <w:rsid w:val="004739CE"/>
    <w:rsid w:val="0054449D"/>
    <w:rsid w:val="005779AA"/>
    <w:rsid w:val="00597F2E"/>
    <w:rsid w:val="005D3E74"/>
    <w:rsid w:val="006005B8"/>
    <w:rsid w:val="00604EBE"/>
    <w:rsid w:val="0060511E"/>
    <w:rsid w:val="0066583A"/>
    <w:rsid w:val="006C05FC"/>
    <w:rsid w:val="006D03CE"/>
    <w:rsid w:val="006E6838"/>
    <w:rsid w:val="00722769"/>
    <w:rsid w:val="00723273"/>
    <w:rsid w:val="00751C67"/>
    <w:rsid w:val="007C62A8"/>
    <w:rsid w:val="007F062E"/>
    <w:rsid w:val="008749DB"/>
    <w:rsid w:val="008F2B1A"/>
    <w:rsid w:val="00931B2F"/>
    <w:rsid w:val="00995538"/>
    <w:rsid w:val="009B488E"/>
    <w:rsid w:val="009C0E1F"/>
    <w:rsid w:val="009C757B"/>
    <w:rsid w:val="00A174FA"/>
    <w:rsid w:val="00A8153C"/>
    <w:rsid w:val="00A862D1"/>
    <w:rsid w:val="00AC0019"/>
    <w:rsid w:val="00AE5462"/>
    <w:rsid w:val="00B157B8"/>
    <w:rsid w:val="00BD204F"/>
    <w:rsid w:val="00BF0BF4"/>
    <w:rsid w:val="00C90E6A"/>
    <w:rsid w:val="00CA6357"/>
    <w:rsid w:val="00CA70FD"/>
    <w:rsid w:val="00CC264F"/>
    <w:rsid w:val="00CC3412"/>
    <w:rsid w:val="00CD25D8"/>
    <w:rsid w:val="00D076E5"/>
    <w:rsid w:val="00D27401"/>
    <w:rsid w:val="00D55E9F"/>
    <w:rsid w:val="00D8644E"/>
    <w:rsid w:val="00DA4C7D"/>
    <w:rsid w:val="00DA4CBE"/>
    <w:rsid w:val="00E0704D"/>
    <w:rsid w:val="00E30448"/>
    <w:rsid w:val="00E44D22"/>
    <w:rsid w:val="00E53653"/>
    <w:rsid w:val="00E607DE"/>
    <w:rsid w:val="00ED744E"/>
    <w:rsid w:val="00F47C31"/>
    <w:rsid w:val="00F507C2"/>
    <w:rsid w:val="00F543C8"/>
    <w:rsid w:val="00F619B7"/>
    <w:rsid w:val="00F972E4"/>
    <w:rsid w:val="00FD577A"/>
    <w:rsid w:val="00FD7817"/>
    <w:rsid w:val="00FF7E15"/>
    <w:rsid w:val="0262163B"/>
    <w:rsid w:val="5D314AA8"/>
    <w:rsid w:val="6E6D2F24"/>
    <w:rsid w:val="7A6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nhideWhenUsed="0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link w:val="13"/>
    <w:uiPriority w:val="99"/>
    <w:rPr>
      <w:i/>
      <w:iCs/>
    </w:rPr>
  </w:style>
  <w:style w:type="paragraph" w:styleId="3">
    <w:name w:val="Plain Text"/>
    <w:basedOn w:val="1"/>
    <w:link w:val="11"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Plain Text Char"/>
    <w:basedOn w:val="8"/>
    <w:link w:val="3"/>
    <w:locked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2">
    <w:name w:val="无间隔"/>
    <w:uiPriority w:val="99"/>
    <w:rPr>
      <w:rFonts w:ascii="NEU-BZ-S92" w:hAnsi="NEU-BZ-S92" w:eastAsia="方正书宋_GBK" w:cs="Times New Roman"/>
      <w:color w:val="000000"/>
      <w:kern w:val="0"/>
      <w:sz w:val="20"/>
      <w:szCs w:val="22"/>
      <w:lang w:val="en-US" w:eastAsia="zh-CN" w:bidi="ar-SA"/>
    </w:rPr>
  </w:style>
  <w:style w:type="character" w:customStyle="1" w:styleId="13">
    <w:name w:val="HTML Address Char"/>
    <w:basedOn w:val="8"/>
    <w:link w:val="2"/>
    <w:semiHidden/>
    <w:locked/>
    <w:uiPriority w:val="99"/>
    <w:rPr>
      <w:rFonts w:cs="Times New Roman"/>
      <w:i/>
      <w:i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99</Words>
  <Characters>569</Characters>
  <Lines>0</Lines>
  <Paragraphs>0</Paragraphs>
  <TotalTime>1560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2020-02-01T02:34:00Z</dcterms:created>
  <dc:creator>Administrator</dc:creator>
  <cp:lastModifiedBy>乔</cp:lastModifiedBy>
  <dcterms:modified xsi:type="dcterms:W3CDTF">2020-02-04T14:40:09Z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